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E0D03B" w14:textId="20E6DDE7" w:rsidR="00E91FEB" w:rsidRPr="00E91FEB" w:rsidRDefault="00350B47" w:rsidP="00E91FEB">
      <w:pPr>
        <w:pStyle w:val="Header"/>
        <w:rPr>
          <w:rFonts w:ascii="Helvetica" w:hAnsi="Helvetica"/>
          <w:b/>
          <w:sz w:val="26"/>
          <w:szCs w:val="26"/>
        </w:rPr>
      </w:pPr>
      <w:r w:rsidRPr="00313920">
        <w:rPr>
          <w:rFonts w:ascii="Helvetica" w:hAnsi="Helvetica"/>
          <w:b/>
          <w:color w:val="FF8A14"/>
          <w:sz w:val="26"/>
          <w:szCs w:val="26"/>
        </w:rPr>
        <w:t xml:space="preserve">TOOL: </w:t>
      </w:r>
      <w:r w:rsidR="00431096">
        <w:rPr>
          <w:rFonts w:ascii="Helvetica" w:hAnsi="Helvetica"/>
          <w:b/>
          <w:color w:val="FF8A14"/>
          <w:sz w:val="26"/>
          <w:szCs w:val="26"/>
        </w:rPr>
        <w:t>Strategies for Elevating Student Voice</w:t>
      </w:r>
    </w:p>
    <w:p w14:paraId="75CB4016" w14:textId="77777777" w:rsidR="003966DA" w:rsidRDefault="003966DA" w:rsidP="003966DA">
      <w:pPr>
        <w:pBdr>
          <w:top w:val="nil"/>
          <w:left w:val="nil"/>
          <w:bottom w:val="nil"/>
          <w:right w:val="nil"/>
          <w:between w:val="nil"/>
        </w:pBdr>
        <w:tabs>
          <w:tab w:val="center" w:pos="4680"/>
          <w:tab w:val="right" w:pos="9360"/>
        </w:tabs>
        <w:ind w:hanging="450"/>
        <w:rPr>
          <w:rFonts w:ascii="Helvetica" w:eastAsia="Helvetica Neue" w:hAnsi="Helvetica" w:cs="Helvetica Neue"/>
          <w:color w:val="808080" w:themeColor="background1" w:themeShade="80"/>
          <w:sz w:val="15"/>
          <w:szCs w:val="15"/>
        </w:rPr>
      </w:pPr>
    </w:p>
    <w:p w14:paraId="21E17CBE" w14:textId="4077A138" w:rsidR="003966DA" w:rsidRDefault="003966DA" w:rsidP="003966DA">
      <w:pPr>
        <w:pBdr>
          <w:top w:val="nil"/>
          <w:left w:val="nil"/>
          <w:bottom w:val="nil"/>
          <w:right w:val="nil"/>
          <w:between w:val="nil"/>
        </w:pBdr>
        <w:tabs>
          <w:tab w:val="center" w:pos="4680"/>
          <w:tab w:val="right" w:pos="9360"/>
        </w:tabs>
        <w:ind w:hanging="450"/>
        <w:rPr>
          <w:rFonts w:ascii="Helvetica" w:eastAsia="Helvetica Neue" w:hAnsi="Helvetica" w:cs="Helvetica Neue"/>
          <w:color w:val="808080" w:themeColor="background1" w:themeShade="80"/>
          <w:sz w:val="15"/>
          <w:szCs w:val="15"/>
          <w:lang w:val="en"/>
        </w:rPr>
      </w:pPr>
      <w:r>
        <w:rPr>
          <w:rFonts w:ascii="Helvetica" w:eastAsia="Helvetica Neue" w:hAnsi="Helvetica" w:cs="Helvetica Neue"/>
          <w:color w:val="808080" w:themeColor="background1" w:themeShade="80"/>
          <w:sz w:val="15"/>
          <w:szCs w:val="15"/>
        </w:rPr>
        <w:tab/>
      </w:r>
      <w:r w:rsidR="00431096">
        <w:rPr>
          <w:rFonts w:ascii="Helvetica" w:eastAsia="Helvetica Neue" w:hAnsi="Helvetica" w:cs="Helvetica Neue"/>
          <w:color w:val="808080" w:themeColor="background1" w:themeShade="80"/>
          <w:sz w:val="15"/>
          <w:szCs w:val="15"/>
          <w:lang w:val="en"/>
        </w:rPr>
        <w:t>Student voice</w:t>
      </w:r>
      <w:r w:rsidR="00431096" w:rsidRPr="00B74E17">
        <w:rPr>
          <w:rFonts w:ascii="Helvetica" w:eastAsia="Helvetica Neue" w:hAnsi="Helvetica" w:cs="Helvetica Neue"/>
          <w:color w:val="808080" w:themeColor="background1" w:themeShade="80"/>
          <w:sz w:val="15"/>
          <w:szCs w:val="15"/>
          <w:lang w:val="en"/>
        </w:rPr>
        <w:t xml:space="preserve"> can be elevated in virtually every dimension of a school. It’s important that student voice </w:t>
      </w:r>
      <w:r w:rsidR="00D5281B">
        <w:rPr>
          <w:rFonts w:ascii="Helvetica" w:eastAsia="Helvetica Neue" w:hAnsi="Helvetica" w:cs="Helvetica Neue"/>
          <w:color w:val="808080" w:themeColor="background1" w:themeShade="80"/>
          <w:sz w:val="15"/>
          <w:szCs w:val="15"/>
          <w:lang w:val="en"/>
        </w:rPr>
        <w:t>is</w:t>
      </w:r>
      <w:r w:rsidR="00431096" w:rsidRPr="00B74E17">
        <w:rPr>
          <w:rFonts w:ascii="Helvetica" w:eastAsia="Helvetica Neue" w:hAnsi="Helvetica" w:cs="Helvetica Neue"/>
          <w:color w:val="808080" w:themeColor="background1" w:themeShade="80"/>
          <w:sz w:val="15"/>
          <w:szCs w:val="15"/>
          <w:lang w:val="en"/>
        </w:rPr>
        <w:t xml:space="preserve"> </w:t>
      </w:r>
      <w:r w:rsidR="00D5281B">
        <w:rPr>
          <w:rFonts w:ascii="Helvetica" w:eastAsia="Helvetica Neue" w:hAnsi="Helvetica" w:cs="Helvetica Neue"/>
          <w:color w:val="808080" w:themeColor="background1" w:themeShade="80"/>
          <w:sz w:val="15"/>
          <w:szCs w:val="15"/>
          <w:lang w:val="en"/>
        </w:rPr>
        <w:t xml:space="preserve">incorporated in </w:t>
      </w:r>
      <w:r w:rsidR="00431096" w:rsidRPr="00B74E17">
        <w:rPr>
          <w:rFonts w:ascii="Helvetica" w:eastAsia="Helvetica Neue" w:hAnsi="Helvetica" w:cs="Helvetica Neue"/>
          <w:color w:val="808080" w:themeColor="background1" w:themeShade="80"/>
          <w:sz w:val="15"/>
          <w:szCs w:val="15"/>
          <w:lang w:val="en"/>
        </w:rPr>
        <w:t>more than planning big events or celebrations—but rather a way of life in a school in which adults prioritize time to learn from students and hear their perspectives.</w:t>
      </w:r>
      <w:r w:rsidR="00431096">
        <w:rPr>
          <w:rFonts w:ascii="Helvetica" w:eastAsia="Helvetica Neue" w:hAnsi="Helvetica" w:cs="Helvetica Neue"/>
          <w:color w:val="808080" w:themeColor="background1" w:themeShade="80"/>
          <w:sz w:val="15"/>
          <w:szCs w:val="15"/>
          <w:lang w:val="en"/>
        </w:rPr>
        <w:t xml:space="preserve"> This tool can help you identify</w:t>
      </w:r>
      <w:r w:rsidR="00431096" w:rsidRPr="00B74E17">
        <w:rPr>
          <w:rFonts w:ascii="Helvetica" w:eastAsia="Helvetica Neue" w:hAnsi="Helvetica" w:cs="Helvetica Neue"/>
          <w:color w:val="808080" w:themeColor="background1" w:themeShade="80"/>
          <w:sz w:val="15"/>
          <w:szCs w:val="15"/>
          <w:lang w:val="en"/>
        </w:rPr>
        <w:t xml:space="preserve"> ways </w:t>
      </w:r>
      <w:r w:rsidR="00431096">
        <w:rPr>
          <w:rFonts w:ascii="Helvetica" w:eastAsia="Helvetica Neue" w:hAnsi="Helvetica" w:cs="Helvetica Neue"/>
          <w:color w:val="808080" w:themeColor="background1" w:themeShade="80"/>
          <w:sz w:val="15"/>
          <w:szCs w:val="15"/>
          <w:lang w:val="en"/>
        </w:rPr>
        <w:t>to</w:t>
      </w:r>
      <w:r w:rsidR="00431096" w:rsidRPr="00B74E17">
        <w:rPr>
          <w:rFonts w:ascii="Helvetica" w:eastAsia="Helvetica Neue" w:hAnsi="Helvetica" w:cs="Helvetica Neue"/>
          <w:color w:val="808080" w:themeColor="background1" w:themeShade="80"/>
          <w:sz w:val="15"/>
          <w:szCs w:val="15"/>
          <w:lang w:val="en"/>
        </w:rPr>
        <w:t xml:space="preserve"> honor and </w:t>
      </w:r>
      <w:r w:rsidR="00D5281B">
        <w:rPr>
          <w:rFonts w:ascii="Helvetica" w:eastAsia="Helvetica Neue" w:hAnsi="Helvetica" w:cs="Helvetica Neue"/>
          <w:color w:val="808080" w:themeColor="background1" w:themeShade="80"/>
          <w:sz w:val="15"/>
          <w:szCs w:val="15"/>
          <w:lang w:val="en"/>
        </w:rPr>
        <w:t>support</w:t>
      </w:r>
      <w:r w:rsidR="00431096" w:rsidRPr="00B74E17">
        <w:rPr>
          <w:rFonts w:ascii="Helvetica" w:eastAsia="Helvetica Neue" w:hAnsi="Helvetica" w:cs="Helvetica Neue"/>
          <w:color w:val="808080" w:themeColor="background1" w:themeShade="80"/>
          <w:sz w:val="15"/>
          <w:szCs w:val="15"/>
          <w:lang w:val="en"/>
        </w:rPr>
        <w:t xml:space="preserve"> a broad range of student perspectives and experiences as part of your schoolwide SEL efforts</w:t>
      </w:r>
      <w:r w:rsidR="00431096">
        <w:rPr>
          <w:rFonts w:ascii="Helvetica" w:eastAsia="Helvetica Neue" w:hAnsi="Helvetica" w:cs="Helvetica Neue"/>
          <w:color w:val="808080" w:themeColor="background1" w:themeShade="80"/>
          <w:sz w:val="15"/>
          <w:szCs w:val="15"/>
          <w:lang w:val="en"/>
        </w:rPr>
        <w:t>.</w:t>
      </w:r>
    </w:p>
    <w:p w14:paraId="1B433B7E" w14:textId="77777777" w:rsidR="00431096" w:rsidRPr="00EC0025" w:rsidRDefault="00431096" w:rsidP="003966DA">
      <w:pPr>
        <w:pBdr>
          <w:top w:val="nil"/>
          <w:left w:val="nil"/>
          <w:bottom w:val="nil"/>
          <w:right w:val="nil"/>
          <w:between w:val="nil"/>
        </w:pBdr>
        <w:tabs>
          <w:tab w:val="center" w:pos="4680"/>
          <w:tab w:val="right" w:pos="9360"/>
        </w:tabs>
        <w:ind w:hanging="450"/>
        <w:rPr>
          <w:rFonts w:ascii="Helvetica" w:hAnsi="Helvetica"/>
          <w:color w:val="000000"/>
          <w:sz w:val="26"/>
          <w:szCs w:val="26"/>
        </w:rPr>
      </w:pPr>
    </w:p>
    <w:tbl>
      <w:tblPr>
        <w:tblW w:w="96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10"/>
        <w:gridCol w:w="4320"/>
      </w:tblGrid>
      <w:tr w:rsidR="003966DA" w:rsidRPr="001D1D99" w14:paraId="2A7057D0" w14:textId="77777777" w:rsidTr="00431096">
        <w:trPr>
          <w:trHeight w:val="872"/>
          <w:jc w:val="center"/>
        </w:trPr>
        <w:tc>
          <w:tcPr>
            <w:tcW w:w="5310" w:type="dxa"/>
            <w:tcBorders>
              <w:top w:val="nil"/>
              <w:left w:val="nil"/>
              <w:bottom w:val="single" w:sz="4" w:space="0" w:color="D9D9D9" w:themeColor="background1" w:themeShade="D9"/>
              <w:right w:val="single" w:sz="4" w:space="0" w:color="FFFFFF" w:themeColor="background1"/>
            </w:tcBorders>
            <w:shd w:val="clear" w:color="auto" w:fill="FF7E15"/>
            <w:vAlign w:val="center"/>
          </w:tcPr>
          <w:p w14:paraId="627B5917" w14:textId="71287DD5" w:rsidR="003966DA" w:rsidRPr="001D1D99" w:rsidRDefault="00431096" w:rsidP="00172807">
            <w:pPr>
              <w:jc w:val="center"/>
              <w:rPr>
                <w:rFonts w:ascii="Helvetica" w:eastAsia="Helvetica Neue" w:hAnsi="Helvetica" w:cs="Helvetica Neue"/>
                <w:b/>
                <w:color w:val="FFFFFF" w:themeColor="background1"/>
              </w:rPr>
            </w:pPr>
            <w:r>
              <w:rPr>
                <w:rFonts w:ascii="Helvetica" w:eastAsia="Helvetica Neue" w:hAnsi="Helvetica" w:cs="Helvetica Neue"/>
                <w:b/>
                <w:color w:val="FFFFFF" w:themeColor="background1"/>
              </w:rPr>
              <w:t>Strategies</w:t>
            </w:r>
          </w:p>
        </w:tc>
        <w:tc>
          <w:tcPr>
            <w:tcW w:w="4320" w:type="dxa"/>
            <w:tcBorders>
              <w:top w:val="nil"/>
              <w:left w:val="single" w:sz="4" w:space="0" w:color="FFFFFF" w:themeColor="background1"/>
              <w:bottom w:val="single" w:sz="4" w:space="0" w:color="D9D9D9" w:themeColor="background1" w:themeShade="D9"/>
              <w:right w:val="single" w:sz="4" w:space="0" w:color="FFFFFF" w:themeColor="background1"/>
            </w:tcBorders>
            <w:shd w:val="clear" w:color="auto" w:fill="FF7E15"/>
            <w:vAlign w:val="center"/>
          </w:tcPr>
          <w:p w14:paraId="3115BFEB" w14:textId="54551EFC" w:rsidR="003966DA" w:rsidRPr="001D1D99" w:rsidRDefault="00431096" w:rsidP="00172807">
            <w:pPr>
              <w:jc w:val="center"/>
              <w:rPr>
                <w:rFonts w:ascii="Helvetica" w:eastAsia="Helvetica Neue" w:hAnsi="Helvetica" w:cs="Helvetica Neue"/>
                <w:b/>
                <w:color w:val="FFFFFF" w:themeColor="background1"/>
              </w:rPr>
            </w:pPr>
            <w:r>
              <w:rPr>
                <w:rFonts w:ascii="Helvetica" w:eastAsia="Helvetica Neue" w:hAnsi="Helvetica" w:cs="Helvetica Neue"/>
                <w:b/>
                <w:color w:val="FFFFFF" w:themeColor="background1"/>
              </w:rPr>
              <w:t>Adult Support</w:t>
            </w:r>
          </w:p>
        </w:tc>
      </w:tr>
      <w:tr w:rsidR="003966DA" w:rsidRPr="00431096" w14:paraId="401E2575" w14:textId="77777777" w:rsidTr="00431096">
        <w:trPr>
          <w:trHeight w:val="1727"/>
          <w:jc w:val="center"/>
        </w:trPr>
        <w:tc>
          <w:tcPr>
            <w:tcW w:w="5310" w:type="dxa"/>
            <w:tcBorders>
              <w:top w:val="single" w:sz="4" w:space="0" w:color="D9D9D9" w:themeColor="background1" w:themeShade="D9"/>
              <w:left w:val="nil"/>
              <w:bottom w:val="single" w:sz="4" w:space="0" w:color="FFFFFF"/>
              <w:right w:val="single" w:sz="4" w:space="0" w:color="D9D9D9" w:themeColor="background1" w:themeShade="D9"/>
            </w:tcBorders>
            <w:shd w:val="clear" w:color="auto" w:fill="E4E2E2"/>
            <w:vAlign w:val="center"/>
          </w:tcPr>
          <w:p w14:paraId="7F5EACAE" w14:textId="77777777" w:rsidR="00431096" w:rsidRPr="00431096" w:rsidRDefault="00431096" w:rsidP="00431096">
            <w:pPr>
              <w:rPr>
                <w:rFonts w:ascii="Helvetica" w:eastAsia="Calibri" w:hAnsi="Helvetica" w:cs="Calibri"/>
                <w:sz w:val="20"/>
                <w:szCs w:val="20"/>
              </w:rPr>
            </w:pPr>
            <w:r w:rsidRPr="00431096">
              <w:rPr>
                <w:rFonts w:ascii="Helvetica" w:eastAsia="Calibri" w:hAnsi="Helvetica" w:cs="Calibri"/>
                <w:b/>
                <w:sz w:val="20"/>
                <w:szCs w:val="20"/>
              </w:rPr>
              <w:t xml:space="preserve">Gather student perspectives. </w:t>
            </w:r>
            <w:r w:rsidRPr="00431096">
              <w:rPr>
                <w:rFonts w:ascii="Helvetica" w:eastAsia="Calibri" w:hAnsi="Helvetica" w:cs="Calibri"/>
                <w:sz w:val="20"/>
                <w:szCs w:val="20"/>
              </w:rPr>
              <w:t xml:space="preserve">Student surveys can help to better understand students’ perspectives on schoolwide SEL implementation, school climate, academic engagement, adult-student relationships, and other important components of their school experiences. Continuing the conversation through focus groups or interviews can help staff to contextualize survey data and answer questions that emerge from survey data. Go further by involving young people themselves in the process of research and analysis, a strategy called </w:t>
            </w:r>
            <w:hyperlink r:id="rId7">
              <w:r w:rsidRPr="00431096">
                <w:rPr>
                  <w:rFonts w:ascii="Helvetica" w:eastAsia="Calibri" w:hAnsi="Helvetica" w:cs="Calibri"/>
                  <w:color w:val="1155CC"/>
                  <w:sz w:val="20"/>
                  <w:szCs w:val="20"/>
                  <w:u w:val="single"/>
                </w:rPr>
                <w:t>youth participatory action research (YPAR)</w:t>
              </w:r>
            </w:hyperlink>
            <w:r w:rsidRPr="00431096">
              <w:rPr>
                <w:rFonts w:ascii="Helvetica" w:eastAsia="Calibri" w:hAnsi="Helvetica" w:cs="Calibri"/>
                <w:sz w:val="20"/>
                <w:szCs w:val="20"/>
              </w:rPr>
              <w:t xml:space="preserve">. </w:t>
            </w:r>
          </w:p>
          <w:p w14:paraId="73B0F3CE" w14:textId="27338AC0" w:rsidR="003966DA" w:rsidRPr="00431096" w:rsidRDefault="003966DA" w:rsidP="00EE539E">
            <w:pPr>
              <w:pStyle w:val="NormalWeb"/>
              <w:spacing w:before="0" w:beforeAutospacing="0" w:after="0" w:afterAutospacing="0"/>
              <w:rPr>
                <w:rFonts w:ascii="Helvetica" w:hAnsi="Helvetica"/>
                <w:sz w:val="20"/>
                <w:szCs w:val="20"/>
              </w:rPr>
            </w:pPr>
          </w:p>
        </w:tc>
        <w:tc>
          <w:tcPr>
            <w:tcW w:w="432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7F2ADCA" w14:textId="347CBD8D" w:rsidR="00431096" w:rsidRPr="00431096" w:rsidRDefault="00431096" w:rsidP="00431096">
            <w:pPr>
              <w:spacing w:after="240" w:line="276" w:lineRule="auto"/>
              <w:rPr>
                <w:rFonts w:ascii="Helvetica" w:hAnsi="Helvetica"/>
                <w:sz w:val="20"/>
                <w:szCs w:val="20"/>
              </w:rPr>
            </w:pPr>
            <w:r w:rsidRPr="00431096">
              <w:rPr>
                <w:rFonts w:ascii="Helvetica" w:eastAsia="Calibri" w:hAnsi="Helvetica" w:cs="Calibri"/>
                <w:sz w:val="20"/>
                <w:szCs w:val="20"/>
              </w:rPr>
              <w:t>Elevating student voice isn’t just about hearing from young people. It is about sharing power and ownership and being transparent about the process as well as the results. Make it clear that you hear their feedback</w:t>
            </w:r>
            <w:r w:rsidR="00D5281B">
              <w:rPr>
                <w:rFonts w:ascii="Helvetica" w:eastAsia="Calibri" w:hAnsi="Helvetica" w:cs="Calibri"/>
                <w:sz w:val="20"/>
                <w:szCs w:val="20"/>
              </w:rPr>
              <w:t xml:space="preserve"> </w:t>
            </w:r>
            <w:r w:rsidRPr="00431096">
              <w:rPr>
                <w:rFonts w:ascii="Helvetica" w:eastAsia="Calibri" w:hAnsi="Helvetica" w:cs="Calibri"/>
                <w:sz w:val="20"/>
                <w:szCs w:val="20"/>
              </w:rPr>
              <w:t xml:space="preserve">and share what you plan to do about it. Let students know how they can help or be part of the planning process. With your students, develop a survey (or </w:t>
            </w:r>
            <w:hyperlink r:id="rId8">
              <w:r w:rsidRPr="00431096">
                <w:rPr>
                  <w:rFonts w:ascii="Helvetica" w:eastAsia="Calibri" w:hAnsi="Helvetica" w:cs="Calibri"/>
                  <w:color w:val="1155CC"/>
                  <w:sz w:val="20"/>
                  <w:szCs w:val="20"/>
                  <w:u w:val="single"/>
                </w:rPr>
                <w:t>adapt this sample</w:t>
              </w:r>
            </w:hyperlink>
            <w:r w:rsidRPr="00431096">
              <w:rPr>
                <w:rFonts w:ascii="Helvetica" w:eastAsia="Calibri" w:hAnsi="Helvetica" w:cs="Calibri"/>
                <w:sz w:val="20"/>
                <w:szCs w:val="20"/>
              </w:rPr>
              <w:t xml:space="preserve">) to better understand their perceptions of school climate, student support, and creating a sense of belonging. </w:t>
            </w:r>
          </w:p>
          <w:p w14:paraId="66860FEF" w14:textId="1F3C0C05" w:rsidR="003966DA" w:rsidRPr="00431096" w:rsidRDefault="003966DA" w:rsidP="00172807">
            <w:pPr>
              <w:rPr>
                <w:rFonts w:ascii="Helvetica" w:hAnsi="Helvetica"/>
                <w:sz w:val="20"/>
                <w:szCs w:val="20"/>
              </w:rPr>
            </w:pPr>
          </w:p>
        </w:tc>
      </w:tr>
      <w:tr w:rsidR="003966DA" w:rsidRPr="00431096" w14:paraId="141D71A9" w14:textId="77777777" w:rsidTr="00431096">
        <w:trPr>
          <w:trHeight w:val="1502"/>
          <w:jc w:val="center"/>
        </w:trPr>
        <w:tc>
          <w:tcPr>
            <w:tcW w:w="5310" w:type="dxa"/>
            <w:tcBorders>
              <w:top w:val="single" w:sz="4" w:space="0" w:color="FFFFFF"/>
              <w:left w:val="nil"/>
              <w:bottom w:val="single" w:sz="4" w:space="0" w:color="FFFFFF"/>
              <w:right w:val="single" w:sz="4" w:space="0" w:color="D9D9D9" w:themeColor="background1" w:themeShade="D9"/>
            </w:tcBorders>
            <w:shd w:val="clear" w:color="auto" w:fill="E4E2E2"/>
            <w:vAlign w:val="center"/>
          </w:tcPr>
          <w:p w14:paraId="600F3502" w14:textId="373BC413" w:rsidR="003966DA" w:rsidRPr="00431096" w:rsidRDefault="00431096" w:rsidP="00431096">
            <w:pPr>
              <w:spacing w:after="240"/>
              <w:rPr>
                <w:rFonts w:ascii="Helvetica" w:eastAsia="Arial" w:hAnsi="Helvetica" w:cs="Arial"/>
                <w:sz w:val="20"/>
                <w:szCs w:val="20"/>
              </w:rPr>
            </w:pPr>
            <w:r w:rsidRPr="00431096">
              <w:rPr>
                <w:rFonts w:ascii="Helvetica" w:eastAsia="Calibri" w:hAnsi="Helvetica" w:cs="Calibri"/>
                <w:b/>
                <w:sz w:val="20"/>
                <w:szCs w:val="20"/>
              </w:rPr>
              <w:t xml:space="preserve">Recruit </w:t>
            </w:r>
            <w:hyperlink r:id="rId9" w:history="1">
              <w:r w:rsidRPr="00431096">
                <w:rPr>
                  <w:rStyle w:val="Hyperlink"/>
                  <w:rFonts w:ascii="Helvetica" w:eastAsia="Calibri" w:hAnsi="Helvetica" w:cs="Calibri"/>
                  <w:b/>
                  <w:sz w:val="20"/>
                  <w:szCs w:val="20"/>
                </w:rPr>
                <w:t>student members for the SEL team</w:t>
              </w:r>
            </w:hyperlink>
            <w:r w:rsidRPr="00431096">
              <w:rPr>
                <w:rFonts w:ascii="Helvetica" w:eastAsia="Calibri" w:hAnsi="Helvetica" w:cs="Calibri"/>
                <w:b/>
                <w:sz w:val="20"/>
                <w:szCs w:val="20"/>
              </w:rPr>
              <w:t xml:space="preserve"> and other leadership teams. </w:t>
            </w:r>
            <w:r w:rsidRPr="00431096">
              <w:rPr>
                <w:rFonts w:ascii="Helvetica" w:eastAsia="Calibri" w:hAnsi="Helvetica" w:cs="Calibri"/>
                <w:sz w:val="20"/>
                <w:szCs w:val="20"/>
              </w:rPr>
              <w:t xml:space="preserve">Students need to have an authentic voice in decision-making about school events and policies that impact them, and adults need their voice in order to co-create equitable learning environments. Student representation on the school’s SEL team, school improvement, or equity and diversity teams can be of great value to both the school and the students. While all voices are important, it is especially critical to hear from those who may feel disconnected from school, as their experiences can provide a critical perspective on how to continuously improve a learning environment that supports </w:t>
            </w:r>
            <w:r w:rsidRPr="00431096">
              <w:rPr>
                <w:rFonts w:ascii="Helvetica" w:eastAsia="Calibri" w:hAnsi="Helvetica" w:cs="Calibri"/>
                <w:i/>
                <w:sz w:val="20"/>
                <w:szCs w:val="20"/>
              </w:rPr>
              <w:t>all</w:t>
            </w:r>
            <w:r w:rsidRPr="00431096">
              <w:rPr>
                <w:rFonts w:ascii="Helvetica" w:eastAsia="Calibri" w:hAnsi="Helvetica" w:cs="Calibri"/>
                <w:sz w:val="20"/>
                <w:szCs w:val="20"/>
              </w:rPr>
              <w:t xml:space="preserve"> students, not just those who are already thriving.</w:t>
            </w:r>
          </w:p>
        </w:tc>
        <w:tc>
          <w:tcPr>
            <w:tcW w:w="432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2716ADD" w14:textId="46F3EFBB" w:rsidR="003966DA" w:rsidRPr="00431096" w:rsidRDefault="00431096" w:rsidP="00172807">
            <w:pPr>
              <w:rPr>
                <w:rFonts w:ascii="Helvetica" w:hAnsi="Helvetica"/>
                <w:sz w:val="20"/>
                <w:szCs w:val="20"/>
              </w:rPr>
            </w:pPr>
            <w:r w:rsidRPr="00431096">
              <w:rPr>
                <w:rFonts w:ascii="Helvetica" w:eastAsia="Calibri" w:hAnsi="Helvetica" w:cs="Calibri"/>
                <w:sz w:val="20"/>
                <w:szCs w:val="20"/>
              </w:rPr>
              <w:t xml:space="preserve">Listen to youth. For some, it may be a shift to listen actively while resisting the urge to show students the “right way.” Prepare adult team members to receive student input in a way that is respectful and encouraging, particularly when student feedback is critical or delivered in unconventional ways. In addition, provide students with opportunities to practice leadership skills such as public speaking and meeting facilitation. See further guidance on supporting student team members in </w:t>
            </w:r>
            <w:hyperlink r:id="rId10" w:history="1">
              <w:r w:rsidRPr="00431096">
                <w:rPr>
                  <w:rStyle w:val="Hyperlink"/>
                  <w:rFonts w:ascii="Helvetica" w:eastAsia="Calibri" w:hAnsi="Helvetica" w:cs="Calibri"/>
                  <w:sz w:val="20"/>
                  <w:szCs w:val="20"/>
                </w:rPr>
                <w:t>this tool</w:t>
              </w:r>
            </w:hyperlink>
            <w:r w:rsidRPr="00431096">
              <w:rPr>
                <w:rFonts w:ascii="Helvetica" w:eastAsia="Calibri" w:hAnsi="Helvetica" w:cs="Calibri"/>
                <w:sz w:val="20"/>
                <w:szCs w:val="20"/>
              </w:rPr>
              <w:t>.</w:t>
            </w:r>
          </w:p>
        </w:tc>
      </w:tr>
      <w:tr w:rsidR="003966DA" w:rsidRPr="00431096" w14:paraId="4EF4DC26" w14:textId="77777777" w:rsidTr="00431096">
        <w:trPr>
          <w:trHeight w:val="620"/>
          <w:jc w:val="center"/>
        </w:trPr>
        <w:tc>
          <w:tcPr>
            <w:tcW w:w="5310" w:type="dxa"/>
            <w:tcBorders>
              <w:top w:val="single" w:sz="4" w:space="0" w:color="FFFFFF"/>
              <w:left w:val="nil"/>
              <w:bottom w:val="single" w:sz="4" w:space="0" w:color="FFFFFF"/>
              <w:right w:val="single" w:sz="4" w:space="0" w:color="D9D9D9" w:themeColor="background1" w:themeShade="D9"/>
            </w:tcBorders>
            <w:shd w:val="clear" w:color="auto" w:fill="E4E2E2"/>
            <w:vAlign w:val="center"/>
          </w:tcPr>
          <w:p w14:paraId="75DA374F" w14:textId="1FF17D7B" w:rsidR="003966DA" w:rsidRPr="00431096" w:rsidRDefault="00431096" w:rsidP="00431096">
            <w:pPr>
              <w:spacing w:before="240" w:after="240"/>
              <w:rPr>
                <w:rFonts w:ascii="Helvetica" w:eastAsia="Calibri" w:hAnsi="Helvetica" w:cs="Calibri"/>
                <w:sz w:val="20"/>
                <w:szCs w:val="20"/>
              </w:rPr>
            </w:pPr>
            <w:r w:rsidRPr="00431096">
              <w:rPr>
                <w:rFonts w:ascii="Helvetica" w:eastAsia="Calibri" w:hAnsi="Helvetica" w:cs="Calibri"/>
                <w:b/>
                <w:sz w:val="20"/>
                <w:szCs w:val="20"/>
              </w:rPr>
              <w:t xml:space="preserve">Encourage student-led advocacy. </w:t>
            </w:r>
            <w:r w:rsidRPr="00431096">
              <w:rPr>
                <w:rFonts w:ascii="Helvetica" w:eastAsia="Calibri" w:hAnsi="Helvetica" w:cs="Calibri"/>
                <w:sz w:val="20"/>
                <w:szCs w:val="20"/>
              </w:rPr>
              <w:t xml:space="preserve">Students </w:t>
            </w:r>
            <w:r w:rsidRPr="00431096">
              <w:rPr>
                <w:rFonts w:ascii="Helvetica" w:eastAsia="Calibri" w:hAnsi="Helvetica" w:cs="Calibri"/>
                <w:sz w:val="20"/>
                <w:szCs w:val="20"/>
              </w:rPr>
              <w:t xml:space="preserve">can work </w:t>
            </w:r>
            <w:r w:rsidRPr="00431096">
              <w:rPr>
                <w:rFonts w:ascii="Helvetica" w:eastAsia="Calibri" w:hAnsi="Helvetica" w:cs="Calibri"/>
                <w:sz w:val="20"/>
                <w:szCs w:val="20"/>
              </w:rPr>
              <w:t xml:space="preserve">with their peers around issues they care about. They can do this through clubs and activities such as a </w:t>
            </w:r>
            <w:hyperlink r:id="rId11">
              <w:r w:rsidRPr="00431096">
                <w:rPr>
                  <w:rFonts w:ascii="Helvetica" w:eastAsia="Calibri" w:hAnsi="Helvetica" w:cs="Calibri"/>
                  <w:color w:val="1155CC"/>
                  <w:sz w:val="20"/>
                  <w:szCs w:val="20"/>
                  <w:u w:val="single"/>
                </w:rPr>
                <w:t>student voice committee</w:t>
              </w:r>
            </w:hyperlink>
            <w:r w:rsidRPr="00431096">
              <w:rPr>
                <w:rFonts w:ascii="Helvetica" w:eastAsia="Calibri" w:hAnsi="Helvetica" w:cs="Calibri"/>
                <w:sz w:val="20"/>
                <w:szCs w:val="20"/>
              </w:rPr>
              <w:t xml:space="preserve">, gay-straight alliance (GSA), peer jury, student council, or youth advisory committee. Students also need outlets to react to current events in their school, community, or the country. Finding a productive way to exercise their voice (e.g., awareness campaigns, peaceful protests) is an ideal opportunity for them to develop new skills </w:t>
            </w:r>
            <w:r w:rsidRPr="00431096">
              <w:rPr>
                <w:rFonts w:ascii="Helvetica" w:eastAsia="Calibri" w:hAnsi="Helvetica" w:cs="Calibri"/>
                <w:i/>
                <w:sz w:val="20"/>
                <w:szCs w:val="20"/>
              </w:rPr>
              <w:t>and</w:t>
            </w:r>
            <w:r w:rsidRPr="00431096">
              <w:rPr>
                <w:rFonts w:ascii="Helvetica" w:eastAsia="Calibri" w:hAnsi="Helvetica" w:cs="Calibri"/>
                <w:sz w:val="20"/>
                <w:szCs w:val="20"/>
              </w:rPr>
              <w:t xml:space="preserve"> have an impact.</w:t>
            </w:r>
          </w:p>
        </w:tc>
        <w:tc>
          <w:tcPr>
            <w:tcW w:w="432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F88D233" w14:textId="57BD6DE6" w:rsidR="003966DA" w:rsidRPr="00431096" w:rsidRDefault="00431096" w:rsidP="00172807">
            <w:pPr>
              <w:rPr>
                <w:rFonts w:ascii="Helvetica" w:hAnsi="Helvetica"/>
                <w:sz w:val="20"/>
                <w:szCs w:val="20"/>
              </w:rPr>
            </w:pPr>
            <w:r w:rsidRPr="00431096">
              <w:rPr>
                <w:rFonts w:ascii="Helvetica" w:eastAsia="Calibri" w:hAnsi="Helvetica" w:cs="Calibri"/>
                <w:sz w:val="20"/>
                <w:szCs w:val="20"/>
              </w:rPr>
              <w:t>Based on a clear understanding of their concerns, help students develop the skills they need to lead, including public speaking, planning meetings, and marketing to organize and engage their peers.</w:t>
            </w:r>
          </w:p>
        </w:tc>
      </w:tr>
      <w:tr w:rsidR="003966DA" w:rsidRPr="00431096" w14:paraId="70777B53" w14:textId="77777777" w:rsidTr="00431096">
        <w:trPr>
          <w:trHeight w:val="1800"/>
          <w:jc w:val="center"/>
        </w:trPr>
        <w:tc>
          <w:tcPr>
            <w:tcW w:w="5310" w:type="dxa"/>
            <w:tcBorders>
              <w:top w:val="single" w:sz="4" w:space="0" w:color="FFFFFF"/>
              <w:left w:val="nil"/>
              <w:bottom w:val="single" w:sz="4" w:space="0" w:color="FFFFFF"/>
              <w:right w:val="single" w:sz="4" w:space="0" w:color="D9D9D9"/>
            </w:tcBorders>
            <w:shd w:val="clear" w:color="auto" w:fill="E4E2E2"/>
            <w:vAlign w:val="center"/>
          </w:tcPr>
          <w:p w14:paraId="529DCEE5" w14:textId="77777777" w:rsidR="00431096" w:rsidRPr="00431096" w:rsidRDefault="00431096" w:rsidP="00431096">
            <w:pPr>
              <w:spacing w:before="240" w:after="240"/>
              <w:rPr>
                <w:rFonts w:ascii="Helvetica" w:eastAsia="Calibri" w:hAnsi="Helvetica" w:cs="Calibri"/>
                <w:sz w:val="20"/>
                <w:szCs w:val="20"/>
              </w:rPr>
            </w:pPr>
            <w:r w:rsidRPr="00431096">
              <w:rPr>
                <w:rFonts w:ascii="Helvetica" w:eastAsia="Calibri" w:hAnsi="Helvetica" w:cs="Calibri"/>
                <w:b/>
                <w:sz w:val="20"/>
                <w:szCs w:val="20"/>
              </w:rPr>
              <w:lastRenderedPageBreak/>
              <w:t xml:space="preserve">Build </w:t>
            </w:r>
            <w:hyperlink r:id="rId12">
              <w:r w:rsidRPr="00431096">
                <w:rPr>
                  <w:rFonts w:ascii="Helvetica" w:eastAsia="Calibri" w:hAnsi="Helvetica" w:cs="Calibri"/>
                  <w:b/>
                  <w:color w:val="1155CC"/>
                  <w:sz w:val="20"/>
                  <w:szCs w:val="20"/>
                  <w:u w:val="single"/>
                </w:rPr>
                <w:t>student-centered classrooms</w:t>
              </w:r>
            </w:hyperlink>
            <w:r w:rsidRPr="00431096">
              <w:rPr>
                <w:rFonts w:ascii="Helvetica" w:eastAsia="Calibri" w:hAnsi="Helvetica" w:cs="Calibri"/>
                <w:b/>
                <w:color w:val="1155CC"/>
                <w:sz w:val="20"/>
                <w:szCs w:val="20"/>
                <w:u w:val="single"/>
              </w:rPr>
              <w:t>.</w:t>
            </w:r>
            <w:r w:rsidRPr="00431096">
              <w:rPr>
                <w:rFonts w:ascii="Helvetica" w:eastAsia="Calibri" w:hAnsi="Helvetica" w:cs="Calibri"/>
                <w:b/>
                <w:sz w:val="20"/>
                <w:szCs w:val="20"/>
              </w:rPr>
              <w:t xml:space="preserve"> </w:t>
            </w:r>
            <w:r w:rsidRPr="00431096">
              <w:rPr>
                <w:rFonts w:ascii="Helvetica" w:eastAsia="Calibri" w:hAnsi="Helvetica" w:cs="Calibri"/>
                <w:sz w:val="20"/>
                <w:szCs w:val="20"/>
              </w:rPr>
              <w:t xml:space="preserve">Creating environments where students drive learning helps to develop problem-solving skills and prepares students for lifelong success. Schools can place students at the center of their learning by including them in decision-making about the </w:t>
            </w:r>
            <w:r w:rsidRPr="00431096">
              <w:rPr>
                <w:rFonts w:ascii="Helvetica" w:eastAsia="Calibri" w:hAnsi="Helvetica" w:cs="Calibri"/>
                <w:i/>
                <w:sz w:val="20"/>
                <w:szCs w:val="20"/>
              </w:rPr>
              <w:t>why</w:t>
            </w:r>
            <w:r w:rsidRPr="00431096">
              <w:rPr>
                <w:rFonts w:ascii="Helvetica" w:eastAsia="Calibri" w:hAnsi="Helvetica" w:cs="Calibri"/>
                <w:sz w:val="20"/>
                <w:szCs w:val="20"/>
              </w:rPr>
              <w:t xml:space="preserve">, </w:t>
            </w:r>
            <w:r w:rsidRPr="00431096">
              <w:rPr>
                <w:rFonts w:ascii="Helvetica" w:eastAsia="Calibri" w:hAnsi="Helvetica" w:cs="Calibri"/>
                <w:i/>
                <w:sz w:val="20"/>
                <w:szCs w:val="20"/>
              </w:rPr>
              <w:t>what</w:t>
            </w:r>
            <w:r w:rsidRPr="00431096">
              <w:rPr>
                <w:rFonts w:ascii="Helvetica" w:eastAsia="Calibri" w:hAnsi="Helvetica" w:cs="Calibri"/>
                <w:sz w:val="20"/>
                <w:szCs w:val="20"/>
              </w:rPr>
              <w:t xml:space="preserve">, and </w:t>
            </w:r>
            <w:r w:rsidRPr="00431096">
              <w:rPr>
                <w:rFonts w:ascii="Helvetica" w:eastAsia="Calibri" w:hAnsi="Helvetica" w:cs="Calibri"/>
                <w:i/>
                <w:sz w:val="20"/>
                <w:szCs w:val="20"/>
              </w:rPr>
              <w:t>how</w:t>
            </w:r>
            <w:r w:rsidRPr="00431096">
              <w:rPr>
                <w:rFonts w:ascii="Helvetica" w:eastAsia="Calibri" w:hAnsi="Helvetica" w:cs="Calibri"/>
                <w:sz w:val="20"/>
                <w:szCs w:val="20"/>
              </w:rPr>
              <w:t xml:space="preserve"> of their learning experiences—shaping learning activities, making choices, and evaluating their own progress.</w:t>
            </w:r>
          </w:p>
          <w:p w14:paraId="11AB4AF8" w14:textId="2CF1C84C" w:rsidR="003966DA" w:rsidRPr="00431096" w:rsidRDefault="003966DA" w:rsidP="00172807">
            <w:pPr>
              <w:pStyle w:val="NormalWeb"/>
              <w:spacing w:before="0" w:beforeAutospacing="0" w:after="0" w:afterAutospacing="0"/>
              <w:rPr>
                <w:rFonts w:ascii="Helvetica" w:hAnsi="Helvetica"/>
                <w:i/>
                <w:sz w:val="20"/>
                <w:szCs w:val="20"/>
              </w:rPr>
            </w:pPr>
          </w:p>
        </w:tc>
        <w:tc>
          <w:tcPr>
            <w:tcW w:w="4320" w:type="dxa"/>
            <w:tcBorders>
              <w:top w:val="single" w:sz="4" w:space="0" w:color="D9D9D9" w:themeColor="background1" w:themeShade="D9"/>
              <w:left w:val="single" w:sz="4" w:space="0" w:color="D9D9D9"/>
              <w:bottom w:val="single" w:sz="4" w:space="0" w:color="D9D9D9" w:themeColor="background1" w:themeShade="D9"/>
              <w:right w:val="single" w:sz="4" w:space="0" w:color="D9D9D9"/>
            </w:tcBorders>
            <w:vAlign w:val="center"/>
          </w:tcPr>
          <w:p w14:paraId="7367CEDA" w14:textId="7F50AC83" w:rsidR="003966DA" w:rsidRPr="00431096" w:rsidRDefault="00431096" w:rsidP="00172807">
            <w:pPr>
              <w:rPr>
                <w:rFonts w:ascii="Helvetica" w:hAnsi="Helvetica"/>
                <w:sz w:val="20"/>
                <w:szCs w:val="20"/>
              </w:rPr>
            </w:pPr>
            <w:r w:rsidRPr="00431096">
              <w:rPr>
                <w:rFonts w:ascii="Helvetica" w:eastAsia="Calibri" w:hAnsi="Helvetica" w:cs="Calibri"/>
                <w:sz w:val="20"/>
                <w:szCs w:val="20"/>
              </w:rPr>
              <w:t xml:space="preserve">Support teachers to use strategies such as </w:t>
            </w:r>
            <w:hyperlink r:id="rId13">
              <w:r w:rsidRPr="00431096">
                <w:rPr>
                  <w:rFonts w:ascii="Helvetica" w:eastAsia="Calibri" w:hAnsi="Helvetica" w:cs="Calibri"/>
                  <w:color w:val="1155CC"/>
                  <w:sz w:val="20"/>
                  <w:szCs w:val="20"/>
                  <w:u w:val="single"/>
                </w:rPr>
                <w:t>interactive pedagogy,</w:t>
              </w:r>
            </w:hyperlink>
            <w:r w:rsidRPr="00431096">
              <w:rPr>
                <w:rFonts w:ascii="Helvetica" w:eastAsia="Calibri" w:hAnsi="Helvetica" w:cs="Calibri"/>
                <w:sz w:val="20"/>
                <w:szCs w:val="20"/>
              </w:rPr>
              <w:t xml:space="preserve"> </w:t>
            </w:r>
            <w:hyperlink r:id="rId14">
              <w:r w:rsidRPr="00431096">
                <w:rPr>
                  <w:rFonts w:ascii="Helvetica" w:eastAsia="Calibri" w:hAnsi="Helvetica" w:cs="Calibri"/>
                  <w:color w:val="1155CC"/>
                  <w:sz w:val="20"/>
                  <w:szCs w:val="20"/>
                  <w:u w:val="single"/>
                </w:rPr>
                <w:t>classroom community building</w:t>
              </w:r>
            </w:hyperlink>
            <w:r w:rsidRPr="00431096">
              <w:rPr>
                <w:rFonts w:ascii="Helvetica" w:eastAsia="Calibri" w:hAnsi="Helvetica" w:cs="Calibri"/>
                <w:color w:val="423F37"/>
                <w:sz w:val="20"/>
                <w:szCs w:val="20"/>
              </w:rPr>
              <w:t xml:space="preserve">, and </w:t>
            </w:r>
            <w:hyperlink r:id="rId15">
              <w:r w:rsidRPr="00431096">
                <w:rPr>
                  <w:rFonts w:ascii="Helvetica" w:eastAsia="Calibri" w:hAnsi="Helvetica" w:cs="Calibri"/>
                  <w:color w:val="1155CC"/>
                  <w:sz w:val="20"/>
                  <w:szCs w:val="20"/>
                  <w:u w:val="single"/>
                </w:rPr>
                <w:t>project-based learning</w:t>
              </w:r>
            </w:hyperlink>
            <w:r w:rsidRPr="00431096">
              <w:rPr>
                <w:rFonts w:ascii="Helvetica" w:eastAsia="Calibri" w:hAnsi="Helvetica" w:cs="Calibri"/>
                <w:color w:val="423F37"/>
                <w:sz w:val="20"/>
                <w:szCs w:val="20"/>
              </w:rPr>
              <w:t xml:space="preserve"> to keep students at the center of learning. E</w:t>
            </w:r>
            <w:r w:rsidRPr="00431096">
              <w:rPr>
                <w:rFonts w:ascii="Helvetica" w:eastAsia="Calibri" w:hAnsi="Helvetica" w:cs="Calibri"/>
                <w:sz w:val="20"/>
                <w:szCs w:val="20"/>
              </w:rPr>
              <w:t xml:space="preserve">stablish classroom leadership roles on a rotating basis so all students have an opportunity to guide projects and classroom activities. Introduce narrative feedback as a way for students to assess their own performance and continue learning until they master a particular subject or skill. </w:t>
            </w:r>
          </w:p>
        </w:tc>
      </w:tr>
      <w:tr w:rsidR="00431096" w:rsidRPr="00431096" w14:paraId="5072871F" w14:textId="77777777" w:rsidTr="00431096">
        <w:trPr>
          <w:trHeight w:val="1800"/>
          <w:jc w:val="center"/>
        </w:trPr>
        <w:tc>
          <w:tcPr>
            <w:tcW w:w="5310" w:type="dxa"/>
            <w:tcBorders>
              <w:top w:val="single" w:sz="4" w:space="0" w:color="FFFFFF"/>
              <w:left w:val="nil"/>
              <w:bottom w:val="single" w:sz="4" w:space="0" w:color="FFFFFF"/>
              <w:right w:val="single" w:sz="4" w:space="0" w:color="D9D9D9"/>
            </w:tcBorders>
            <w:shd w:val="clear" w:color="auto" w:fill="E4E2E2"/>
            <w:vAlign w:val="center"/>
          </w:tcPr>
          <w:p w14:paraId="5DCB28AC" w14:textId="77777777" w:rsidR="00431096" w:rsidRPr="00431096" w:rsidRDefault="00431096" w:rsidP="00431096">
            <w:pPr>
              <w:spacing w:before="240" w:after="240"/>
              <w:rPr>
                <w:rFonts w:ascii="Helvetica" w:eastAsia="Calibri" w:hAnsi="Helvetica" w:cs="Calibri"/>
                <w:sz w:val="20"/>
                <w:szCs w:val="20"/>
              </w:rPr>
            </w:pPr>
            <w:r w:rsidRPr="00431096">
              <w:rPr>
                <w:rFonts w:ascii="Helvetica" w:eastAsia="Calibri" w:hAnsi="Helvetica" w:cs="Calibri"/>
                <w:b/>
                <w:sz w:val="20"/>
                <w:szCs w:val="20"/>
              </w:rPr>
              <w:t xml:space="preserve">Involve students in teaching about SEL. </w:t>
            </w:r>
            <w:r w:rsidRPr="00431096">
              <w:rPr>
                <w:rFonts w:ascii="Helvetica" w:eastAsia="Calibri" w:hAnsi="Helvetica" w:cs="Calibri"/>
                <w:sz w:val="20"/>
                <w:szCs w:val="20"/>
              </w:rPr>
              <w:t xml:space="preserve">In some schools, students facilitate learning around </w:t>
            </w:r>
            <w:proofErr w:type="gramStart"/>
            <w:r w:rsidRPr="00431096">
              <w:rPr>
                <w:rFonts w:ascii="Helvetica" w:eastAsia="Calibri" w:hAnsi="Helvetica" w:cs="Calibri"/>
                <w:sz w:val="20"/>
                <w:szCs w:val="20"/>
              </w:rPr>
              <w:t>SEL</w:t>
            </w:r>
            <w:proofErr w:type="gramEnd"/>
            <w:r w:rsidRPr="00431096">
              <w:rPr>
                <w:rFonts w:ascii="Helvetica" w:eastAsia="Calibri" w:hAnsi="Helvetica" w:cs="Calibri"/>
                <w:sz w:val="20"/>
                <w:szCs w:val="20"/>
              </w:rPr>
              <w:t xml:space="preserve"> or related subjects based on their interests or the needs of the school. Students may partner with another student or teacher to co-teach their peers or other grade levels. Student-led SEL can include students leading activities such as mindfulness, advisory lessons, discussions, or community-building circles. Students may also want to use social media as a mechanism to inform and educate their peers about SEL.</w:t>
            </w:r>
          </w:p>
          <w:p w14:paraId="2CB4B198" w14:textId="77777777" w:rsidR="00431096" w:rsidRPr="00431096" w:rsidRDefault="00431096" w:rsidP="00431096">
            <w:pPr>
              <w:spacing w:before="240" w:after="240"/>
              <w:rPr>
                <w:rFonts w:ascii="Helvetica" w:eastAsia="Calibri" w:hAnsi="Helvetica" w:cs="Calibri"/>
                <w:b/>
                <w:sz w:val="20"/>
                <w:szCs w:val="20"/>
              </w:rPr>
            </w:pPr>
          </w:p>
        </w:tc>
        <w:tc>
          <w:tcPr>
            <w:tcW w:w="4320" w:type="dxa"/>
            <w:tcBorders>
              <w:top w:val="single" w:sz="4" w:space="0" w:color="D9D9D9" w:themeColor="background1" w:themeShade="D9"/>
              <w:left w:val="single" w:sz="4" w:space="0" w:color="D9D9D9"/>
              <w:bottom w:val="single" w:sz="4" w:space="0" w:color="D9D9D9" w:themeColor="background1" w:themeShade="D9"/>
              <w:right w:val="single" w:sz="4" w:space="0" w:color="D9D9D9"/>
            </w:tcBorders>
            <w:vAlign w:val="center"/>
          </w:tcPr>
          <w:p w14:paraId="2B0DEE0F" w14:textId="32DA11DE" w:rsidR="00431096" w:rsidRPr="00431096" w:rsidRDefault="00431096" w:rsidP="00172807">
            <w:pPr>
              <w:rPr>
                <w:rFonts w:ascii="Helvetica" w:eastAsia="Calibri" w:hAnsi="Helvetica" w:cs="Calibri"/>
                <w:sz w:val="20"/>
                <w:szCs w:val="20"/>
              </w:rPr>
            </w:pPr>
            <w:r w:rsidRPr="00431096">
              <w:rPr>
                <w:rFonts w:ascii="Helvetica" w:eastAsia="Calibri" w:hAnsi="Helvetica" w:cs="Calibri"/>
                <w:sz w:val="20"/>
                <w:szCs w:val="20"/>
              </w:rPr>
              <w:t>Prepare students to lead SEL activities by introducing them to the content, giving them options about what they want to present or facilitate, providing talking points, and engaging students in role playing or rehearsing how content will be delivered.</w:t>
            </w:r>
          </w:p>
        </w:tc>
      </w:tr>
      <w:tr w:rsidR="00431096" w:rsidRPr="00431096" w14:paraId="53695795" w14:textId="77777777" w:rsidTr="00431096">
        <w:trPr>
          <w:trHeight w:val="1800"/>
          <w:jc w:val="center"/>
        </w:trPr>
        <w:tc>
          <w:tcPr>
            <w:tcW w:w="5310" w:type="dxa"/>
            <w:tcBorders>
              <w:top w:val="single" w:sz="4" w:space="0" w:color="FFFFFF"/>
              <w:left w:val="nil"/>
              <w:bottom w:val="single" w:sz="4" w:space="0" w:color="FFFFFF"/>
              <w:right w:val="single" w:sz="4" w:space="0" w:color="D9D9D9"/>
            </w:tcBorders>
            <w:shd w:val="clear" w:color="auto" w:fill="E4E2E2"/>
            <w:vAlign w:val="center"/>
          </w:tcPr>
          <w:p w14:paraId="75139978" w14:textId="2DC946A2" w:rsidR="00431096" w:rsidRPr="00431096" w:rsidRDefault="00431096" w:rsidP="00431096">
            <w:pPr>
              <w:spacing w:after="240"/>
              <w:rPr>
                <w:rFonts w:ascii="Helvetica" w:eastAsia="Calibri" w:hAnsi="Helvetica" w:cs="Calibri"/>
                <w:sz w:val="20"/>
                <w:szCs w:val="20"/>
              </w:rPr>
            </w:pPr>
            <w:r w:rsidRPr="00431096">
              <w:rPr>
                <w:rFonts w:ascii="Helvetica" w:eastAsia="Calibri" w:hAnsi="Helvetica" w:cs="Calibri"/>
                <w:sz w:val="20"/>
                <w:szCs w:val="20"/>
              </w:rPr>
              <w:t>E</w:t>
            </w:r>
            <w:r w:rsidRPr="00431096">
              <w:rPr>
                <w:rFonts w:ascii="Helvetica" w:eastAsia="Calibri" w:hAnsi="Helvetica" w:cs="Calibri"/>
                <w:sz w:val="20"/>
                <w:szCs w:val="20"/>
              </w:rPr>
              <w:t xml:space="preserve">stablish </w:t>
            </w:r>
            <w:hyperlink r:id="rId16">
              <w:r w:rsidRPr="00431096">
                <w:rPr>
                  <w:rFonts w:ascii="Helvetica" w:eastAsia="Calibri" w:hAnsi="Helvetica" w:cs="Calibri"/>
                  <w:b/>
                  <w:color w:val="1155CC"/>
                  <w:sz w:val="20"/>
                  <w:szCs w:val="20"/>
                  <w:u w:val="single"/>
                </w:rPr>
                <w:t>student-led conferences</w:t>
              </w:r>
            </w:hyperlink>
            <w:r w:rsidRPr="00431096">
              <w:rPr>
                <w:rFonts w:ascii="Helvetica" w:eastAsia="Calibri" w:hAnsi="Helvetica" w:cs="Calibri"/>
                <w:b/>
                <w:color w:val="1155CC"/>
                <w:sz w:val="20"/>
                <w:szCs w:val="20"/>
                <w:u w:val="single"/>
              </w:rPr>
              <w:t xml:space="preserve">. </w:t>
            </w:r>
            <w:r w:rsidRPr="00431096">
              <w:rPr>
                <w:rFonts w:ascii="Helvetica" w:eastAsia="Calibri" w:hAnsi="Helvetica" w:cs="Calibri"/>
                <w:sz w:val="20"/>
                <w:szCs w:val="20"/>
              </w:rPr>
              <w:t>The opportunity to prepare for and conduct their own conferences about academic, social, and emotional progress with their parents or guardians gives students a sense of ownership of the learning process and cultivates skills in communication and self-awareness (Berger et al, 2014).</w:t>
            </w:r>
          </w:p>
          <w:p w14:paraId="12DBB1F2" w14:textId="77777777" w:rsidR="00431096" w:rsidRPr="00431096" w:rsidRDefault="00431096" w:rsidP="00431096">
            <w:pPr>
              <w:spacing w:before="240" w:after="240"/>
              <w:rPr>
                <w:rFonts w:ascii="Helvetica" w:eastAsia="Calibri" w:hAnsi="Helvetica" w:cs="Calibri"/>
                <w:b/>
                <w:sz w:val="20"/>
                <w:szCs w:val="20"/>
              </w:rPr>
            </w:pPr>
          </w:p>
        </w:tc>
        <w:tc>
          <w:tcPr>
            <w:tcW w:w="4320" w:type="dxa"/>
            <w:tcBorders>
              <w:top w:val="single" w:sz="4" w:space="0" w:color="D9D9D9" w:themeColor="background1" w:themeShade="D9"/>
              <w:left w:val="single" w:sz="4" w:space="0" w:color="D9D9D9"/>
              <w:bottom w:val="single" w:sz="4" w:space="0" w:color="D9D9D9" w:themeColor="background1" w:themeShade="D9"/>
              <w:right w:val="single" w:sz="4" w:space="0" w:color="D9D9D9"/>
            </w:tcBorders>
            <w:vAlign w:val="center"/>
          </w:tcPr>
          <w:p w14:paraId="11465CF8" w14:textId="3CB5D508" w:rsidR="00431096" w:rsidRPr="00431096" w:rsidRDefault="00431096" w:rsidP="00172807">
            <w:pPr>
              <w:rPr>
                <w:rFonts w:ascii="Helvetica" w:eastAsia="Calibri" w:hAnsi="Helvetica" w:cs="Calibri"/>
                <w:sz w:val="20"/>
                <w:szCs w:val="20"/>
              </w:rPr>
            </w:pPr>
            <w:r w:rsidRPr="00431096">
              <w:rPr>
                <w:rFonts w:ascii="Helvetica" w:eastAsia="Calibri" w:hAnsi="Helvetica" w:cs="Calibri"/>
                <w:sz w:val="20"/>
                <w:szCs w:val="20"/>
              </w:rPr>
              <w:t>Help students prepare to lead conferences by having them gather work samples to review, write a reflection on their strengths and challenges, and set goals for the next quarter. Support the student in this conference by shifting from a directive role (e.g., “do it this way”) to a consulting role (“let’s develop a plan for improvement together”).</w:t>
            </w:r>
          </w:p>
        </w:tc>
      </w:tr>
    </w:tbl>
    <w:p w14:paraId="32C3225A" w14:textId="77777777" w:rsidR="003966DA" w:rsidRPr="00431096" w:rsidRDefault="003966DA" w:rsidP="003966DA">
      <w:pPr>
        <w:rPr>
          <w:rFonts w:ascii="Helvetica" w:hAnsi="Helvetica"/>
          <w:sz w:val="20"/>
          <w:szCs w:val="20"/>
        </w:rPr>
      </w:pPr>
    </w:p>
    <w:p w14:paraId="2616C5D2" w14:textId="77777777" w:rsidR="003966DA" w:rsidRPr="001D1D99" w:rsidRDefault="003966DA" w:rsidP="003966DA">
      <w:pPr>
        <w:rPr>
          <w:rFonts w:ascii="Helvetica" w:hAnsi="Helvetica"/>
        </w:rPr>
      </w:pPr>
    </w:p>
    <w:p w14:paraId="52AFE261" w14:textId="77777777" w:rsidR="003966DA" w:rsidRPr="001D1D99" w:rsidRDefault="003966DA" w:rsidP="003966DA">
      <w:pPr>
        <w:rPr>
          <w:rFonts w:ascii="Helvetica" w:eastAsia="Helvetica Neue" w:hAnsi="Helvetica" w:cs="Helvetica Neue"/>
        </w:rPr>
      </w:pPr>
    </w:p>
    <w:p w14:paraId="28A0E645" w14:textId="79EA618E" w:rsidR="00B16CDF" w:rsidRPr="00350B47" w:rsidRDefault="00B16CDF">
      <w:pPr>
        <w:rPr>
          <w:rFonts w:ascii="Helvetica" w:hAnsi="Helvetica"/>
        </w:rPr>
      </w:pPr>
    </w:p>
    <w:sectPr w:rsidR="00B16CDF" w:rsidRPr="00350B47" w:rsidSect="00062258">
      <w:headerReference w:type="default" r:id="rId17"/>
      <w:footerReference w:type="even" r:id="rId18"/>
      <w:footerReference w:type="default" r:id="rId19"/>
      <w:pgSz w:w="12240" w:h="15840"/>
      <w:pgMar w:top="1080" w:right="1080" w:bottom="1080" w:left="108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02E052" w14:textId="77777777" w:rsidR="00C67A58" w:rsidRDefault="00C67A58" w:rsidP="007F1F6F">
      <w:r>
        <w:separator/>
      </w:r>
    </w:p>
  </w:endnote>
  <w:endnote w:type="continuationSeparator" w:id="0">
    <w:p w14:paraId="2F96FD27" w14:textId="77777777" w:rsidR="00C67A58" w:rsidRDefault="00C67A58" w:rsidP="007F1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47864347"/>
      <w:docPartObj>
        <w:docPartGallery w:val="Page Numbers (Bottom of Page)"/>
        <w:docPartUnique/>
      </w:docPartObj>
    </w:sdtPr>
    <w:sdtEndPr>
      <w:rPr>
        <w:rStyle w:val="PageNumber"/>
      </w:rPr>
    </w:sdtEndPr>
    <w:sdtContent>
      <w:p w14:paraId="4CE85F23" w14:textId="74640B07" w:rsidR="00313920" w:rsidRDefault="00313920" w:rsidP="001B290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BD5F169" w14:textId="77777777" w:rsidR="00313920" w:rsidRDefault="00313920" w:rsidP="0031392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Helvetica" w:hAnsi="Helvetica"/>
        <w:b/>
        <w:sz w:val="18"/>
        <w:szCs w:val="18"/>
      </w:rPr>
      <w:id w:val="1296103412"/>
      <w:docPartObj>
        <w:docPartGallery w:val="Page Numbers (Bottom of Page)"/>
        <w:docPartUnique/>
      </w:docPartObj>
    </w:sdtPr>
    <w:sdtEndPr>
      <w:rPr>
        <w:rStyle w:val="PageNumber"/>
      </w:rPr>
    </w:sdtEndPr>
    <w:sdtContent>
      <w:p w14:paraId="622E2B85" w14:textId="77777777" w:rsidR="00062258" w:rsidRPr="00D1058F" w:rsidRDefault="00062258" w:rsidP="00062258">
        <w:pPr>
          <w:pStyle w:val="Footer"/>
          <w:framePr w:wrap="none" w:vAnchor="text" w:hAnchor="margin" w:xAlign="right" w:y="123"/>
          <w:rPr>
            <w:rStyle w:val="PageNumber"/>
            <w:rFonts w:ascii="Helvetica" w:hAnsi="Helvetica"/>
            <w:b/>
            <w:sz w:val="18"/>
            <w:szCs w:val="18"/>
          </w:rPr>
        </w:pPr>
        <w:r w:rsidRPr="00D1058F">
          <w:rPr>
            <w:rStyle w:val="PageNumber"/>
            <w:rFonts w:ascii="Helvetica" w:hAnsi="Helvetica"/>
            <w:b/>
            <w:sz w:val="18"/>
            <w:szCs w:val="18"/>
          </w:rPr>
          <w:fldChar w:fldCharType="begin"/>
        </w:r>
        <w:r w:rsidRPr="00D1058F">
          <w:rPr>
            <w:rStyle w:val="PageNumber"/>
            <w:rFonts w:ascii="Helvetica" w:hAnsi="Helvetica"/>
            <w:b/>
            <w:sz w:val="18"/>
            <w:szCs w:val="18"/>
          </w:rPr>
          <w:instrText xml:space="preserve"> PAGE </w:instrText>
        </w:r>
        <w:r w:rsidRPr="00D1058F">
          <w:rPr>
            <w:rStyle w:val="PageNumber"/>
            <w:rFonts w:ascii="Helvetica" w:hAnsi="Helvetica"/>
            <w:b/>
            <w:sz w:val="18"/>
            <w:szCs w:val="18"/>
          </w:rPr>
          <w:fldChar w:fldCharType="separate"/>
        </w:r>
        <w:r>
          <w:rPr>
            <w:rStyle w:val="PageNumber"/>
            <w:rFonts w:ascii="Helvetica" w:hAnsi="Helvetica"/>
            <w:b/>
            <w:sz w:val="18"/>
            <w:szCs w:val="18"/>
          </w:rPr>
          <w:t>1</w:t>
        </w:r>
        <w:r w:rsidRPr="00D1058F">
          <w:rPr>
            <w:rStyle w:val="PageNumber"/>
            <w:rFonts w:ascii="Helvetica" w:hAnsi="Helvetica"/>
            <w:b/>
            <w:sz w:val="18"/>
            <w:szCs w:val="18"/>
          </w:rPr>
          <w:fldChar w:fldCharType="end"/>
        </w:r>
      </w:p>
    </w:sdtContent>
  </w:sdt>
  <w:p w14:paraId="20487C96" w14:textId="77777777" w:rsidR="00062258" w:rsidRPr="008851B9" w:rsidRDefault="00062258" w:rsidP="00062258">
    <w:pPr>
      <w:rPr>
        <w:rFonts w:ascii="Helvetica" w:hAnsi="Helvetica"/>
        <w:sz w:val="14"/>
        <w:szCs w:val="14"/>
      </w:rPr>
    </w:pPr>
    <w:r w:rsidRPr="008851B9">
      <w:rPr>
        <w:rFonts w:ascii="Helvetica" w:hAnsi="Helvetica" w:cs="Calibri"/>
        <w:color w:val="000000"/>
        <w:sz w:val="14"/>
        <w:szCs w:val="14"/>
      </w:rPr>
      <w:t>For more information, tools, and resources, visit schoolguide.casel.org.</w:t>
    </w:r>
  </w:p>
  <w:p w14:paraId="4683DDDD" w14:textId="13939448" w:rsidR="007F1F6F" w:rsidRPr="00062258" w:rsidRDefault="00062258" w:rsidP="00062258">
    <w:pPr>
      <w:rPr>
        <w:rFonts w:ascii="Helvetica" w:hAnsi="Helvetica"/>
        <w:sz w:val="14"/>
        <w:szCs w:val="14"/>
      </w:rPr>
    </w:pPr>
    <w:r w:rsidRPr="0028489E">
      <w:rPr>
        <w:rFonts w:ascii="Helvetica" w:hAnsi="Helvetica" w:cs="Calibri"/>
        <w:b/>
        <w:bCs/>
        <w:color w:val="000000"/>
        <w:sz w:val="14"/>
        <w:szCs w:val="14"/>
      </w:rPr>
      <w:t>Copyright © 2019 | Collaborative for Academic, Social, and Emotional Learning (CASEL) | casel.org |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6C4685" w14:textId="77777777" w:rsidR="00C67A58" w:rsidRDefault="00C67A58" w:rsidP="007F1F6F">
      <w:r>
        <w:separator/>
      </w:r>
    </w:p>
  </w:footnote>
  <w:footnote w:type="continuationSeparator" w:id="0">
    <w:p w14:paraId="38590BCE" w14:textId="77777777" w:rsidR="00C67A58" w:rsidRDefault="00C67A58" w:rsidP="007F1F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36A7AB" w14:textId="3D9E086C" w:rsidR="00062258" w:rsidRPr="00062258" w:rsidRDefault="00062258" w:rsidP="00062258">
    <w:pPr>
      <w:pStyle w:val="Header"/>
      <w:ind w:hanging="90"/>
    </w:pPr>
    <w:r>
      <w:rPr>
        <w:noProof/>
      </w:rPr>
      <w:drawing>
        <wp:inline distT="0" distB="0" distL="0" distR="0" wp14:anchorId="72B5FD0F" wp14:editId="4ABA22E2">
          <wp:extent cx="1691640" cy="386629"/>
          <wp:effectExtent l="0" t="0" r="0" b="0"/>
          <wp:docPr id="1073741825" name="officeArt object" descr="LOGO TEMP.png"/>
          <wp:cNvGraphicFramePr/>
          <a:graphic xmlns:a="http://schemas.openxmlformats.org/drawingml/2006/main">
            <a:graphicData uri="http://schemas.openxmlformats.org/drawingml/2006/picture">
              <pic:pic xmlns:pic="http://schemas.openxmlformats.org/drawingml/2006/picture">
                <pic:nvPicPr>
                  <pic:cNvPr id="1073741825" name="LOGO TEMP.png" descr="LOGO TEMP.png"/>
                  <pic:cNvPicPr>
                    <a:picLocks noChangeAspect="1"/>
                  </pic:cNvPicPr>
                </pic:nvPicPr>
                <pic:blipFill>
                  <a:blip r:embed="rId1"/>
                  <a:stretch>
                    <a:fillRect/>
                  </a:stretch>
                </pic:blipFill>
                <pic:spPr>
                  <a:xfrm>
                    <a:off x="0" y="0"/>
                    <a:ext cx="1691640" cy="386629"/>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10551"/>
    <w:multiLevelType w:val="multilevel"/>
    <w:tmpl w:val="537E9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3E23F6"/>
    <w:multiLevelType w:val="multilevel"/>
    <w:tmpl w:val="9FDE9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54762F"/>
    <w:multiLevelType w:val="multilevel"/>
    <w:tmpl w:val="5ADAB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FD36C7"/>
    <w:multiLevelType w:val="hybridMultilevel"/>
    <w:tmpl w:val="3B6AB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165DBC"/>
    <w:multiLevelType w:val="multilevel"/>
    <w:tmpl w:val="7128A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AF6CE2"/>
    <w:multiLevelType w:val="multilevel"/>
    <w:tmpl w:val="B9D6E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5A660A"/>
    <w:multiLevelType w:val="multilevel"/>
    <w:tmpl w:val="BCFA5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E82ADA"/>
    <w:multiLevelType w:val="multilevel"/>
    <w:tmpl w:val="318E8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56095D"/>
    <w:multiLevelType w:val="multilevel"/>
    <w:tmpl w:val="B1C0A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7F12F4"/>
    <w:multiLevelType w:val="multilevel"/>
    <w:tmpl w:val="7EC6F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E175CC"/>
    <w:multiLevelType w:val="multilevel"/>
    <w:tmpl w:val="AB8C8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E22C9A"/>
    <w:multiLevelType w:val="multilevel"/>
    <w:tmpl w:val="89F01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F02258"/>
    <w:multiLevelType w:val="hybridMultilevel"/>
    <w:tmpl w:val="A832F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3E4A4C"/>
    <w:multiLevelType w:val="hybridMultilevel"/>
    <w:tmpl w:val="22486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B974E1"/>
    <w:multiLevelType w:val="multilevel"/>
    <w:tmpl w:val="6C1A8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7052C0"/>
    <w:multiLevelType w:val="multilevel"/>
    <w:tmpl w:val="A2FC1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B1B1BCC"/>
    <w:multiLevelType w:val="multilevel"/>
    <w:tmpl w:val="15607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2"/>
  </w:num>
  <w:num w:numId="3">
    <w:abstractNumId w:val="16"/>
  </w:num>
  <w:num w:numId="4">
    <w:abstractNumId w:val="9"/>
  </w:num>
  <w:num w:numId="5">
    <w:abstractNumId w:val="1"/>
  </w:num>
  <w:num w:numId="6">
    <w:abstractNumId w:val="7"/>
  </w:num>
  <w:num w:numId="7">
    <w:abstractNumId w:val="2"/>
  </w:num>
  <w:num w:numId="8">
    <w:abstractNumId w:val="15"/>
  </w:num>
  <w:num w:numId="9">
    <w:abstractNumId w:val="4"/>
  </w:num>
  <w:num w:numId="10">
    <w:abstractNumId w:val="11"/>
  </w:num>
  <w:num w:numId="11">
    <w:abstractNumId w:val="6"/>
  </w:num>
  <w:num w:numId="12">
    <w:abstractNumId w:val="8"/>
  </w:num>
  <w:num w:numId="13">
    <w:abstractNumId w:val="5"/>
  </w:num>
  <w:num w:numId="14">
    <w:abstractNumId w:val="0"/>
  </w:num>
  <w:num w:numId="15">
    <w:abstractNumId w:val="14"/>
  </w:num>
  <w:num w:numId="16">
    <w:abstractNumId w:val="10"/>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E1D"/>
    <w:rsid w:val="00062258"/>
    <w:rsid w:val="00114D9C"/>
    <w:rsid w:val="002C62CA"/>
    <w:rsid w:val="00313920"/>
    <w:rsid w:val="00342B7F"/>
    <w:rsid w:val="00350B47"/>
    <w:rsid w:val="00371909"/>
    <w:rsid w:val="003966DA"/>
    <w:rsid w:val="003A35A2"/>
    <w:rsid w:val="003D0320"/>
    <w:rsid w:val="003F5950"/>
    <w:rsid w:val="00431096"/>
    <w:rsid w:val="00477977"/>
    <w:rsid w:val="004F4BB9"/>
    <w:rsid w:val="00500688"/>
    <w:rsid w:val="00540168"/>
    <w:rsid w:val="005E13F8"/>
    <w:rsid w:val="006163E6"/>
    <w:rsid w:val="00640297"/>
    <w:rsid w:val="006B41A8"/>
    <w:rsid w:val="00716BDA"/>
    <w:rsid w:val="00775F49"/>
    <w:rsid w:val="007F1F6F"/>
    <w:rsid w:val="00843531"/>
    <w:rsid w:val="00906FED"/>
    <w:rsid w:val="00945A15"/>
    <w:rsid w:val="009522C9"/>
    <w:rsid w:val="00975110"/>
    <w:rsid w:val="00AE52A3"/>
    <w:rsid w:val="00B16CDF"/>
    <w:rsid w:val="00BA2947"/>
    <w:rsid w:val="00C67A58"/>
    <w:rsid w:val="00C71F7F"/>
    <w:rsid w:val="00C75020"/>
    <w:rsid w:val="00D0564D"/>
    <w:rsid w:val="00D143D1"/>
    <w:rsid w:val="00D175AB"/>
    <w:rsid w:val="00D5281B"/>
    <w:rsid w:val="00D874EF"/>
    <w:rsid w:val="00DB0667"/>
    <w:rsid w:val="00DE5393"/>
    <w:rsid w:val="00DE6E1D"/>
    <w:rsid w:val="00E333CA"/>
    <w:rsid w:val="00E917DB"/>
    <w:rsid w:val="00E91FEB"/>
    <w:rsid w:val="00ED5872"/>
    <w:rsid w:val="00EE539E"/>
    <w:rsid w:val="00EF26FC"/>
    <w:rsid w:val="00F85DF0"/>
    <w:rsid w:val="00FC3FB6"/>
    <w:rsid w:val="00FE41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3B51D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95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6E1D"/>
    <w:pPr>
      <w:ind w:left="720"/>
      <w:contextualSpacing/>
    </w:pPr>
  </w:style>
  <w:style w:type="character" w:styleId="CommentReference">
    <w:name w:val="annotation reference"/>
    <w:basedOn w:val="DefaultParagraphFont"/>
    <w:uiPriority w:val="99"/>
    <w:semiHidden/>
    <w:unhideWhenUsed/>
    <w:rsid w:val="005E13F8"/>
    <w:rPr>
      <w:sz w:val="18"/>
      <w:szCs w:val="18"/>
    </w:rPr>
  </w:style>
  <w:style w:type="paragraph" w:styleId="CommentText">
    <w:name w:val="annotation text"/>
    <w:basedOn w:val="Normal"/>
    <w:link w:val="CommentTextChar"/>
    <w:uiPriority w:val="99"/>
    <w:semiHidden/>
    <w:unhideWhenUsed/>
    <w:rsid w:val="005E13F8"/>
  </w:style>
  <w:style w:type="character" w:customStyle="1" w:styleId="CommentTextChar">
    <w:name w:val="Comment Text Char"/>
    <w:basedOn w:val="DefaultParagraphFont"/>
    <w:link w:val="CommentText"/>
    <w:uiPriority w:val="99"/>
    <w:semiHidden/>
    <w:rsid w:val="005E13F8"/>
    <w:rPr>
      <w:sz w:val="24"/>
      <w:szCs w:val="24"/>
    </w:rPr>
  </w:style>
  <w:style w:type="paragraph" w:styleId="CommentSubject">
    <w:name w:val="annotation subject"/>
    <w:basedOn w:val="CommentText"/>
    <w:next w:val="CommentText"/>
    <w:link w:val="CommentSubjectChar"/>
    <w:uiPriority w:val="99"/>
    <w:semiHidden/>
    <w:unhideWhenUsed/>
    <w:rsid w:val="005E13F8"/>
    <w:rPr>
      <w:b/>
      <w:bCs/>
      <w:sz w:val="20"/>
      <w:szCs w:val="20"/>
    </w:rPr>
  </w:style>
  <w:style w:type="character" w:customStyle="1" w:styleId="CommentSubjectChar">
    <w:name w:val="Comment Subject Char"/>
    <w:basedOn w:val="CommentTextChar"/>
    <w:link w:val="CommentSubject"/>
    <w:uiPriority w:val="99"/>
    <w:semiHidden/>
    <w:rsid w:val="005E13F8"/>
    <w:rPr>
      <w:b/>
      <w:bCs/>
      <w:sz w:val="20"/>
      <w:szCs w:val="20"/>
    </w:rPr>
  </w:style>
  <w:style w:type="paragraph" w:styleId="BalloonText">
    <w:name w:val="Balloon Text"/>
    <w:basedOn w:val="Normal"/>
    <w:link w:val="BalloonTextChar"/>
    <w:uiPriority w:val="99"/>
    <w:semiHidden/>
    <w:unhideWhenUsed/>
    <w:rsid w:val="005E13F8"/>
    <w:rPr>
      <w:sz w:val="18"/>
      <w:szCs w:val="18"/>
    </w:rPr>
  </w:style>
  <w:style w:type="character" w:customStyle="1" w:styleId="BalloonTextChar">
    <w:name w:val="Balloon Text Char"/>
    <w:basedOn w:val="DefaultParagraphFont"/>
    <w:link w:val="BalloonText"/>
    <w:uiPriority w:val="99"/>
    <w:semiHidden/>
    <w:rsid w:val="005E13F8"/>
    <w:rPr>
      <w:rFonts w:ascii="Times New Roman" w:hAnsi="Times New Roman" w:cs="Times New Roman"/>
      <w:sz w:val="18"/>
      <w:szCs w:val="18"/>
    </w:rPr>
  </w:style>
  <w:style w:type="paragraph" w:styleId="Header">
    <w:name w:val="header"/>
    <w:basedOn w:val="Normal"/>
    <w:link w:val="HeaderChar"/>
    <w:uiPriority w:val="99"/>
    <w:unhideWhenUsed/>
    <w:rsid w:val="007F1F6F"/>
    <w:pPr>
      <w:tabs>
        <w:tab w:val="center" w:pos="4680"/>
        <w:tab w:val="right" w:pos="9360"/>
      </w:tabs>
    </w:pPr>
  </w:style>
  <w:style w:type="character" w:customStyle="1" w:styleId="HeaderChar">
    <w:name w:val="Header Char"/>
    <w:basedOn w:val="DefaultParagraphFont"/>
    <w:link w:val="Header"/>
    <w:uiPriority w:val="99"/>
    <w:rsid w:val="007F1F6F"/>
  </w:style>
  <w:style w:type="paragraph" w:styleId="Footer">
    <w:name w:val="footer"/>
    <w:basedOn w:val="Normal"/>
    <w:link w:val="FooterChar"/>
    <w:uiPriority w:val="99"/>
    <w:unhideWhenUsed/>
    <w:rsid w:val="007F1F6F"/>
    <w:pPr>
      <w:tabs>
        <w:tab w:val="center" w:pos="4680"/>
        <w:tab w:val="right" w:pos="9360"/>
      </w:tabs>
    </w:pPr>
  </w:style>
  <w:style w:type="character" w:customStyle="1" w:styleId="FooterChar">
    <w:name w:val="Footer Char"/>
    <w:basedOn w:val="DefaultParagraphFont"/>
    <w:link w:val="Footer"/>
    <w:uiPriority w:val="99"/>
    <w:rsid w:val="007F1F6F"/>
  </w:style>
  <w:style w:type="character" w:styleId="PageNumber">
    <w:name w:val="page number"/>
    <w:basedOn w:val="DefaultParagraphFont"/>
    <w:uiPriority w:val="99"/>
    <w:semiHidden/>
    <w:unhideWhenUsed/>
    <w:rsid w:val="00313920"/>
  </w:style>
  <w:style w:type="character" w:styleId="Hyperlink">
    <w:name w:val="Hyperlink"/>
    <w:basedOn w:val="DefaultParagraphFont"/>
    <w:uiPriority w:val="99"/>
    <w:unhideWhenUsed/>
    <w:rsid w:val="00945A15"/>
    <w:rPr>
      <w:color w:val="0563C1" w:themeColor="hyperlink"/>
      <w:u w:val="single"/>
    </w:rPr>
  </w:style>
  <w:style w:type="character" w:styleId="FollowedHyperlink">
    <w:name w:val="FollowedHyperlink"/>
    <w:basedOn w:val="DefaultParagraphFont"/>
    <w:uiPriority w:val="99"/>
    <w:semiHidden/>
    <w:unhideWhenUsed/>
    <w:rsid w:val="00945A15"/>
    <w:rPr>
      <w:color w:val="954F72" w:themeColor="followedHyperlink"/>
      <w:u w:val="single"/>
    </w:rPr>
  </w:style>
  <w:style w:type="character" w:styleId="UnresolvedMention">
    <w:name w:val="Unresolved Mention"/>
    <w:basedOn w:val="DefaultParagraphFont"/>
    <w:uiPriority w:val="99"/>
    <w:semiHidden/>
    <w:unhideWhenUsed/>
    <w:rsid w:val="00F85DF0"/>
    <w:rPr>
      <w:color w:val="605E5C"/>
      <w:shd w:val="clear" w:color="auto" w:fill="E1DFDD"/>
    </w:rPr>
  </w:style>
  <w:style w:type="paragraph" w:styleId="NormalWeb">
    <w:name w:val="Normal (Web)"/>
    <w:basedOn w:val="Normal"/>
    <w:uiPriority w:val="99"/>
    <w:unhideWhenUsed/>
    <w:rsid w:val="00E91FEB"/>
    <w:pPr>
      <w:spacing w:before="100" w:beforeAutospacing="1" w:after="100" w:afterAutospacing="1"/>
    </w:pPr>
  </w:style>
  <w:style w:type="character" w:styleId="Strong">
    <w:name w:val="Strong"/>
    <w:basedOn w:val="DefaultParagraphFont"/>
    <w:uiPriority w:val="22"/>
    <w:qFormat/>
    <w:rsid w:val="003D03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352132">
      <w:bodyDiv w:val="1"/>
      <w:marLeft w:val="0"/>
      <w:marRight w:val="0"/>
      <w:marTop w:val="0"/>
      <w:marBottom w:val="0"/>
      <w:divBdr>
        <w:top w:val="none" w:sz="0" w:space="0" w:color="auto"/>
        <w:left w:val="none" w:sz="0" w:space="0" w:color="auto"/>
        <w:bottom w:val="none" w:sz="0" w:space="0" w:color="auto"/>
        <w:right w:val="none" w:sz="0" w:space="0" w:color="auto"/>
      </w:divBdr>
    </w:div>
    <w:div w:id="268511185">
      <w:bodyDiv w:val="1"/>
      <w:marLeft w:val="0"/>
      <w:marRight w:val="0"/>
      <w:marTop w:val="0"/>
      <w:marBottom w:val="0"/>
      <w:divBdr>
        <w:top w:val="none" w:sz="0" w:space="0" w:color="auto"/>
        <w:left w:val="none" w:sz="0" w:space="0" w:color="auto"/>
        <w:bottom w:val="none" w:sz="0" w:space="0" w:color="auto"/>
        <w:right w:val="none" w:sz="0" w:space="0" w:color="auto"/>
      </w:divBdr>
    </w:div>
    <w:div w:id="469398700">
      <w:bodyDiv w:val="1"/>
      <w:marLeft w:val="0"/>
      <w:marRight w:val="0"/>
      <w:marTop w:val="0"/>
      <w:marBottom w:val="0"/>
      <w:divBdr>
        <w:top w:val="none" w:sz="0" w:space="0" w:color="auto"/>
        <w:left w:val="none" w:sz="0" w:space="0" w:color="auto"/>
        <w:bottom w:val="none" w:sz="0" w:space="0" w:color="auto"/>
        <w:right w:val="none" w:sz="0" w:space="0" w:color="auto"/>
      </w:divBdr>
    </w:div>
    <w:div w:id="478378038">
      <w:bodyDiv w:val="1"/>
      <w:marLeft w:val="0"/>
      <w:marRight w:val="0"/>
      <w:marTop w:val="0"/>
      <w:marBottom w:val="0"/>
      <w:divBdr>
        <w:top w:val="none" w:sz="0" w:space="0" w:color="auto"/>
        <w:left w:val="none" w:sz="0" w:space="0" w:color="auto"/>
        <w:bottom w:val="none" w:sz="0" w:space="0" w:color="auto"/>
        <w:right w:val="none" w:sz="0" w:space="0" w:color="auto"/>
      </w:divBdr>
    </w:div>
    <w:div w:id="626938298">
      <w:bodyDiv w:val="1"/>
      <w:marLeft w:val="0"/>
      <w:marRight w:val="0"/>
      <w:marTop w:val="0"/>
      <w:marBottom w:val="0"/>
      <w:divBdr>
        <w:top w:val="none" w:sz="0" w:space="0" w:color="auto"/>
        <w:left w:val="none" w:sz="0" w:space="0" w:color="auto"/>
        <w:bottom w:val="none" w:sz="0" w:space="0" w:color="auto"/>
        <w:right w:val="none" w:sz="0" w:space="0" w:color="auto"/>
      </w:divBdr>
    </w:div>
    <w:div w:id="1197550048">
      <w:bodyDiv w:val="1"/>
      <w:marLeft w:val="0"/>
      <w:marRight w:val="0"/>
      <w:marTop w:val="0"/>
      <w:marBottom w:val="0"/>
      <w:divBdr>
        <w:top w:val="none" w:sz="0" w:space="0" w:color="auto"/>
        <w:left w:val="none" w:sz="0" w:space="0" w:color="auto"/>
        <w:bottom w:val="none" w:sz="0" w:space="0" w:color="auto"/>
        <w:right w:val="none" w:sz="0" w:space="0" w:color="auto"/>
      </w:divBdr>
    </w:div>
    <w:div w:id="1544634776">
      <w:bodyDiv w:val="1"/>
      <w:marLeft w:val="0"/>
      <w:marRight w:val="0"/>
      <w:marTop w:val="0"/>
      <w:marBottom w:val="0"/>
      <w:divBdr>
        <w:top w:val="none" w:sz="0" w:space="0" w:color="auto"/>
        <w:left w:val="none" w:sz="0" w:space="0" w:color="auto"/>
        <w:bottom w:val="none" w:sz="0" w:space="0" w:color="auto"/>
        <w:right w:val="none" w:sz="0" w:space="0" w:color="auto"/>
      </w:divBdr>
    </w:div>
    <w:div w:id="1937521103">
      <w:bodyDiv w:val="1"/>
      <w:marLeft w:val="0"/>
      <w:marRight w:val="0"/>
      <w:marTop w:val="0"/>
      <w:marBottom w:val="0"/>
      <w:divBdr>
        <w:top w:val="none" w:sz="0" w:space="0" w:color="auto"/>
        <w:left w:val="none" w:sz="0" w:space="0" w:color="auto"/>
        <w:bottom w:val="none" w:sz="0" w:space="0" w:color="auto"/>
        <w:right w:val="none" w:sz="0" w:space="0" w:color="auto"/>
      </w:divBdr>
    </w:div>
    <w:div w:id="1956521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olguide.casel.org/resource/student-survey-how-i-feel-about-my-classroom-and-school/" TargetMode="External"/><Relationship Id="rId13" Type="http://schemas.openxmlformats.org/officeDocument/2006/relationships/hyperlink" Target="https://schoolguide.casel.org/focus-area-3/classroom/integration-of-sel-and-instruction/using-interactive-pedagogy/"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yparhub.berkeley.edu/learn-about-ypar/" TargetMode="External"/><Relationship Id="rId12" Type="http://schemas.openxmlformats.org/officeDocument/2006/relationships/hyperlink" Target="https://www.educationcorner.com/developing-a-student-centered-classroom.html"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leducation.org/resources/chapter-5-student-led-conference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tuvoice.org/tour-blog/chicagos-student-voice-committee-program-is-a-model-for-the-nation" TargetMode="External"/><Relationship Id="rId5" Type="http://schemas.openxmlformats.org/officeDocument/2006/relationships/footnotes" Target="footnotes.xml"/><Relationship Id="rId15" Type="http://schemas.openxmlformats.org/officeDocument/2006/relationships/hyperlink" Target="http://www.ascd.org/publications/educational_leadership/sept10/vol68/num01/Seven_Essentials_for_Project-Based_Learning.aspx" TargetMode="External"/><Relationship Id="rId10" Type="http://schemas.openxmlformats.org/officeDocument/2006/relationships/hyperlink" Target="https://schoolguide.casel.org/resource/supporting-student-members-of-the-sel-team/"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schoolguide.casel.org/focus-area-1a/create-a-team/define-team-roles-and-responsibilities/" TargetMode="External"/><Relationship Id="rId14" Type="http://schemas.openxmlformats.org/officeDocument/2006/relationships/hyperlink" Target="https://schoolguide.casel.org/focus-area-3/classroom/a-supportive-classroom-environment/community-build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1037</Words>
  <Characters>5912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Salazar</dc:creator>
  <cp:keywords/>
  <dc:description/>
  <cp:lastModifiedBy>Justina Schlund</cp:lastModifiedBy>
  <cp:revision>3</cp:revision>
  <dcterms:created xsi:type="dcterms:W3CDTF">2020-10-14T16:27:00Z</dcterms:created>
  <dcterms:modified xsi:type="dcterms:W3CDTF">2020-10-14T16:28:00Z</dcterms:modified>
</cp:coreProperties>
</file>