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28B42" w14:textId="77777777" w:rsidR="00780BD7" w:rsidRDefault="00780BD7">
      <w:pPr>
        <w:spacing w:after="0"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04550E6" w14:textId="08B3BC28" w:rsidR="00780BD7" w:rsidRDefault="005233ED">
      <w:pPr>
        <w:spacing w:after="0"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TEACHER/CLASSROOM: ___</w:t>
      </w:r>
      <w:r w:rsidR="0013457A">
        <w:rPr>
          <w:rFonts w:ascii="Helvetica Neue" w:eastAsia="Helvetica Neue" w:hAnsi="Helvetica Neue" w:cs="Helvetica Neue"/>
          <w:b/>
        </w:rPr>
        <w:t>__</w:t>
      </w:r>
      <w:r>
        <w:rPr>
          <w:rFonts w:ascii="Helvetica Neue" w:eastAsia="Helvetica Neue" w:hAnsi="Helvetica Neue" w:cs="Helvetica Neue"/>
          <w:b/>
        </w:rPr>
        <w:t>__________________________ DATE: ______________________</w:t>
      </w:r>
    </w:p>
    <w:p w14:paraId="3E3D4CF0" w14:textId="77777777" w:rsidR="00780BD7" w:rsidRDefault="00780BD7">
      <w:pPr>
        <w:spacing w:after="0" w:line="240" w:lineRule="auto"/>
        <w:rPr>
          <w:rFonts w:ascii="Helvetica Neue" w:eastAsia="Helvetica Neue" w:hAnsi="Helvetica Neue" w:cs="Helvetica Neue"/>
          <w:b/>
          <w:u w:val="single"/>
        </w:rPr>
      </w:pPr>
    </w:p>
    <w:p w14:paraId="50BD74AB" w14:textId="15083C2C" w:rsidR="00780BD7" w:rsidRDefault="005233ED">
      <w:pPr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u w:val="single"/>
        </w:rPr>
        <w:t>Directions</w:t>
      </w:r>
      <w:r>
        <w:rPr>
          <w:rFonts w:ascii="Helvetica Neue" w:eastAsia="Helvetica Neue" w:hAnsi="Helvetica Neue" w:cs="Helvetica Neue"/>
        </w:rPr>
        <w:t>:  Place a check in the column that indicates how often you use each integration strategy</w:t>
      </w:r>
      <w:r w:rsidR="00087BA5">
        <w:rPr>
          <w:rFonts w:ascii="Helvetica Neue" w:eastAsia="Helvetica Neue" w:hAnsi="Helvetica Neue" w:cs="Helvetica Neue"/>
        </w:rPr>
        <w:t xml:space="preserve"> </w:t>
      </w:r>
      <w:proofErr w:type="gramStart"/>
      <w:r w:rsidR="00087BA5">
        <w:rPr>
          <w:rFonts w:ascii="Helvetica Neue" w:eastAsia="Helvetica Neue" w:hAnsi="Helvetica Neue" w:cs="Helvetica Neue"/>
        </w:rPr>
        <w:t>Then,</w:t>
      </w:r>
      <w:proofErr w:type="gramEnd"/>
      <w:r>
        <w:rPr>
          <w:rFonts w:ascii="Helvetica Neue" w:eastAsia="Helvetica Neue" w:hAnsi="Helvetica Neue" w:cs="Helvetica Neue"/>
        </w:rPr>
        <w:t xml:space="preserve"> record </w:t>
      </w:r>
      <w:r w:rsidR="00087BA5">
        <w:rPr>
          <w:rFonts w:ascii="Helvetica Neue" w:eastAsia="Helvetica Neue" w:hAnsi="Helvetica Neue" w:cs="Helvetica Neue"/>
        </w:rPr>
        <w:t xml:space="preserve">which strategies you’d like to use more frequently. You may also want to identify </w:t>
      </w:r>
      <w:r>
        <w:rPr>
          <w:rFonts w:ascii="Helvetica Neue" w:eastAsia="Helvetica Neue" w:hAnsi="Helvetica Neue" w:cs="Helvetica Neue"/>
        </w:rPr>
        <w:t>when and how you will implement these strategies</w:t>
      </w:r>
      <w:r w:rsidR="00087BA5">
        <w:rPr>
          <w:rFonts w:ascii="Helvetica Neue" w:eastAsia="Helvetica Neue" w:hAnsi="Helvetica Neue" w:cs="Helvetica Neue"/>
        </w:rPr>
        <w:t xml:space="preserve"> and any support you’ll need</w:t>
      </w:r>
      <w:r>
        <w:rPr>
          <w:rFonts w:ascii="Helvetica Neue" w:eastAsia="Helvetica Neue" w:hAnsi="Helvetica Neue" w:cs="Helvetica Neue"/>
        </w:rPr>
        <w:t>. Use this assessment tool 3–4 times over the course of the year.</w:t>
      </w:r>
    </w:p>
    <w:p w14:paraId="0F31AA07" w14:textId="77777777" w:rsidR="00780BD7" w:rsidRDefault="00780BD7">
      <w:p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"/>
        <w:tblW w:w="10457" w:type="dxa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3780"/>
        <w:gridCol w:w="1529"/>
        <w:gridCol w:w="1530"/>
        <w:gridCol w:w="1530"/>
      </w:tblGrid>
      <w:tr w:rsidR="0013457A" w14:paraId="3088DEBC" w14:textId="77777777" w:rsidTr="0013457A">
        <w:tc>
          <w:tcPr>
            <w:tcW w:w="2088" w:type="dxa"/>
            <w:tcBorders>
              <w:bottom w:val="nil"/>
            </w:tcBorders>
            <w:shd w:val="clear" w:color="auto" w:fill="F58413"/>
          </w:tcPr>
          <w:p w14:paraId="0BE15BD1" w14:textId="77777777" w:rsidR="0013457A" w:rsidRDefault="00134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3780" w:type="dxa"/>
            <w:tcBorders>
              <w:bottom w:val="nil"/>
            </w:tcBorders>
            <w:shd w:val="clear" w:color="auto" w:fill="F58413"/>
          </w:tcPr>
          <w:p w14:paraId="5F8C214A" w14:textId="77777777" w:rsidR="0013457A" w:rsidRPr="00087BA5" w:rsidRDefault="0013457A" w:rsidP="00087BA5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</w:p>
          <w:p w14:paraId="1DE5EED9" w14:textId="64100ACA" w:rsidR="0013457A" w:rsidRPr="00087BA5" w:rsidRDefault="00087BA5" w:rsidP="00087BA5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 w:rsidRPr="00087BA5">
              <w:rPr>
                <w:rFonts w:ascii="Helvetica Neue" w:eastAsia="Helvetica Neue" w:hAnsi="Helvetica Neue" w:cs="Helvetica Neue"/>
                <w:b/>
              </w:rPr>
              <w:t>Integration Strategy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58413"/>
          </w:tcPr>
          <w:p w14:paraId="47F1FE58" w14:textId="77777777" w:rsidR="000E5E25" w:rsidRDefault="000E5E25" w:rsidP="00087BA5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</w:p>
          <w:p w14:paraId="1908C1F1" w14:textId="046F969F" w:rsidR="0013457A" w:rsidRDefault="0013457A" w:rsidP="00087BA5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Often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58413"/>
          </w:tcPr>
          <w:p w14:paraId="205CB158" w14:textId="77777777" w:rsidR="00087BA5" w:rsidRDefault="00087BA5" w:rsidP="00087BA5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0004FC7E" w14:textId="7D32C92D" w:rsidR="0013457A" w:rsidRDefault="0013457A" w:rsidP="00087BA5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Sometimes</w:t>
            </w:r>
          </w:p>
        </w:tc>
        <w:tc>
          <w:tcPr>
            <w:tcW w:w="1530" w:type="dxa"/>
            <w:tcBorders>
              <w:top w:val="nil"/>
              <w:right w:val="single" w:sz="4" w:space="0" w:color="auto"/>
            </w:tcBorders>
            <w:shd w:val="clear" w:color="auto" w:fill="F58413"/>
          </w:tcPr>
          <w:p w14:paraId="63943D1E" w14:textId="77777777" w:rsidR="00087BA5" w:rsidRDefault="00087BA5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</w:p>
          <w:p w14:paraId="5A571B41" w14:textId="5C84894D" w:rsidR="0013457A" w:rsidRDefault="0013457A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Infrequently</w:t>
            </w:r>
          </w:p>
        </w:tc>
      </w:tr>
      <w:tr w:rsidR="00087BA5" w14:paraId="2DCBA1AB" w14:textId="77777777" w:rsidTr="0013457A">
        <w:trPr>
          <w:trHeight w:val="860"/>
        </w:trPr>
        <w:tc>
          <w:tcPr>
            <w:tcW w:w="2088" w:type="dxa"/>
            <w:vMerge w:val="restart"/>
          </w:tcPr>
          <w:p w14:paraId="0DD599B5" w14:textId="36A6C98C" w:rsidR="00087BA5" w:rsidRDefault="00087BA5" w:rsidP="00087BA5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  <w:t>Aligned objectives</w:t>
            </w:r>
          </w:p>
        </w:tc>
        <w:tc>
          <w:tcPr>
            <w:tcW w:w="3780" w:type="dxa"/>
          </w:tcPr>
          <w:p w14:paraId="56766C33" w14:textId="1ACBE9A2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Identify academic and related social-emotional learning objectives for each lesson.</w:t>
            </w:r>
          </w:p>
        </w:tc>
        <w:tc>
          <w:tcPr>
            <w:tcW w:w="1529" w:type="dxa"/>
          </w:tcPr>
          <w:p w14:paraId="1821CA41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58DE67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58F77F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59030B91" w14:textId="77777777" w:rsidTr="00087BA5">
        <w:trPr>
          <w:trHeight w:val="485"/>
        </w:trPr>
        <w:tc>
          <w:tcPr>
            <w:tcW w:w="2088" w:type="dxa"/>
            <w:vMerge/>
          </w:tcPr>
          <w:p w14:paraId="7805EE31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68FBC2C" w14:textId="687F58A2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Review content for cultural relevancy.</w:t>
            </w:r>
          </w:p>
        </w:tc>
        <w:tc>
          <w:tcPr>
            <w:tcW w:w="1529" w:type="dxa"/>
          </w:tcPr>
          <w:p w14:paraId="2332ACE4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1F768D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13E340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2200058F" w14:textId="77777777" w:rsidTr="00087BA5">
        <w:trPr>
          <w:trHeight w:val="629"/>
        </w:trPr>
        <w:tc>
          <w:tcPr>
            <w:tcW w:w="2088" w:type="dxa"/>
            <w:vMerge/>
          </w:tcPr>
          <w:p w14:paraId="2828201E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664E868" w14:textId="0D688911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Structure lessons to promote practice of social and emotional competencies. </w:t>
            </w:r>
          </w:p>
        </w:tc>
        <w:tc>
          <w:tcPr>
            <w:tcW w:w="1529" w:type="dxa"/>
          </w:tcPr>
          <w:p w14:paraId="08349887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CC361A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447318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3457A" w14:paraId="61DA79F8" w14:textId="77777777" w:rsidTr="0013457A">
        <w:trPr>
          <w:trHeight w:val="860"/>
        </w:trPr>
        <w:tc>
          <w:tcPr>
            <w:tcW w:w="2088" w:type="dxa"/>
            <w:vMerge w:val="restart"/>
          </w:tcPr>
          <w:p w14:paraId="64DF947D" w14:textId="06E260DE" w:rsidR="0013457A" w:rsidRDefault="00087BA5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  <w:t>Interactive pedagogy</w:t>
            </w:r>
          </w:p>
        </w:tc>
        <w:tc>
          <w:tcPr>
            <w:tcW w:w="3780" w:type="dxa"/>
          </w:tcPr>
          <w:p w14:paraId="56573418" w14:textId="4AB49943" w:rsidR="0013457A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Use cooperative structures like “Turn to Your Partner,” “Think, Pair, Share”.</w:t>
            </w:r>
          </w:p>
        </w:tc>
        <w:tc>
          <w:tcPr>
            <w:tcW w:w="1529" w:type="dxa"/>
          </w:tcPr>
          <w:p w14:paraId="6A764FF6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E68900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22AFC6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3457A" w14:paraId="78EF9AFC" w14:textId="77777777" w:rsidTr="0013457A">
        <w:trPr>
          <w:trHeight w:val="860"/>
        </w:trPr>
        <w:tc>
          <w:tcPr>
            <w:tcW w:w="2088" w:type="dxa"/>
            <w:vMerge/>
          </w:tcPr>
          <w:p w14:paraId="78E569AF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4144E72" w14:textId="77777777" w:rsidR="0013457A" w:rsidRDefault="0013457A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Implement cooperative learning activities, along with the structures and guidance to support them.</w:t>
            </w:r>
          </w:p>
          <w:p w14:paraId="6A12263B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55195D3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EDAB2D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CCA9EC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3457A" w14:paraId="35D9593C" w14:textId="77777777" w:rsidTr="0013457A">
        <w:trPr>
          <w:trHeight w:val="860"/>
        </w:trPr>
        <w:tc>
          <w:tcPr>
            <w:tcW w:w="2088" w:type="dxa"/>
            <w:vMerge/>
          </w:tcPr>
          <w:p w14:paraId="1B19BB85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3BAE77" w14:textId="77777777" w:rsidR="0013457A" w:rsidRDefault="0013457A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Intersperse periods of teacher-led instruction with opportunities for talk.</w:t>
            </w:r>
          </w:p>
          <w:p w14:paraId="1DA0DA35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EDFE7F7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D2B7DD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4578C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3457A" w14:paraId="4134339C" w14:textId="77777777" w:rsidTr="0013457A">
        <w:trPr>
          <w:trHeight w:val="860"/>
        </w:trPr>
        <w:tc>
          <w:tcPr>
            <w:tcW w:w="2088" w:type="dxa"/>
            <w:vMerge/>
          </w:tcPr>
          <w:p w14:paraId="6E41309B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5F29408" w14:textId="77777777" w:rsidR="0013457A" w:rsidRDefault="0013457A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Provide opportunities for student choice.</w:t>
            </w:r>
          </w:p>
          <w:p w14:paraId="5625DC22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57AED68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F25538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BC2628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3457A" w14:paraId="22146189" w14:textId="77777777" w:rsidTr="0013457A">
        <w:trPr>
          <w:trHeight w:val="860"/>
        </w:trPr>
        <w:tc>
          <w:tcPr>
            <w:tcW w:w="2088" w:type="dxa"/>
            <w:vMerge/>
          </w:tcPr>
          <w:p w14:paraId="0AACB287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B10799A" w14:textId="5E3C127F" w:rsidR="0013457A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Provide balance of opportunities for students to work with others as well as alone.</w:t>
            </w:r>
          </w:p>
        </w:tc>
        <w:tc>
          <w:tcPr>
            <w:tcW w:w="1529" w:type="dxa"/>
          </w:tcPr>
          <w:p w14:paraId="1215B29C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71BDD9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8D09FE" w14:textId="77777777" w:rsidR="0013457A" w:rsidRDefault="0013457A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178D11F0" w14:textId="77777777" w:rsidTr="0013457A">
        <w:trPr>
          <w:trHeight w:val="860"/>
        </w:trPr>
        <w:tc>
          <w:tcPr>
            <w:tcW w:w="2088" w:type="dxa"/>
            <w:vMerge/>
          </w:tcPr>
          <w:p w14:paraId="048248B5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52BEF78" w14:textId="19F5D678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Have students use discussion prompts when they contribute to a discussion. (“I [agree/disagree] with _____ because…,” and “In addition to what ____ said, I think…”)</w:t>
            </w:r>
          </w:p>
        </w:tc>
        <w:tc>
          <w:tcPr>
            <w:tcW w:w="1529" w:type="dxa"/>
          </w:tcPr>
          <w:p w14:paraId="518E8C69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AD6C5D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230BEA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36E572B0" w14:textId="77777777" w:rsidTr="0013457A">
        <w:trPr>
          <w:trHeight w:val="860"/>
        </w:trPr>
        <w:tc>
          <w:tcPr>
            <w:tcW w:w="2088" w:type="dxa"/>
            <w:vMerge w:val="restart"/>
          </w:tcPr>
          <w:p w14:paraId="09A80ADF" w14:textId="77777777" w:rsidR="00087BA5" w:rsidRDefault="00087BA5" w:rsidP="00443C6D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  <w:t>Academic mindsets</w:t>
            </w:r>
          </w:p>
          <w:p w14:paraId="414807C4" w14:textId="7E99EA13" w:rsidR="00087BA5" w:rsidRDefault="00087BA5" w:rsidP="00087BA5">
            <w:pPr>
              <w:spacing w:line="240" w:lineRule="auto"/>
              <w:ind w:right="113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35EB775" w14:textId="57DF4E34" w:rsidR="00087BA5" w:rsidRP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Ask open-ended questions that surface and probe student thinking.</w:t>
            </w:r>
          </w:p>
        </w:tc>
        <w:tc>
          <w:tcPr>
            <w:tcW w:w="1529" w:type="dxa"/>
          </w:tcPr>
          <w:p w14:paraId="63B0C165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F81AE2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2C05C0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340A5FB4" w14:textId="77777777" w:rsidTr="0013457A">
        <w:trPr>
          <w:trHeight w:val="860"/>
        </w:trPr>
        <w:tc>
          <w:tcPr>
            <w:tcW w:w="2088" w:type="dxa"/>
            <w:vMerge/>
          </w:tcPr>
          <w:p w14:paraId="59626F33" w14:textId="77777777" w:rsidR="00087BA5" w:rsidRDefault="00087BA5" w:rsidP="005E6409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050D138" w14:textId="218E03E9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Provide opportunities for students to make frequent connections between content and their own lived experiences.</w:t>
            </w:r>
          </w:p>
        </w:tc>
        <w:tc>
          <w:tcPr>
            <w:tcW w:w="1529" w:type="dxa"/>
          </w:tcPr>
          <w:p w14:paraId="27771515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7081E6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342207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0CDDC78D" w14:textId="77777777" w:rsidTr="0013457A">
        <w:trPr>
          <w:trHeight w:val="860"/>
        </w:trPr>
        <w:tc>
          <w:tcPr>
            <w:tcW w:w="2088" w:type="dxa"/>
            <w:vMerge/>
          </w:tcPr>
          <w:p w14:paraId="58A70F24" w14:textId="77777777" w:rsidR="00087BA5" w:rsidRDefault="00087BA5" w:rsidP="005E6409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BFCB837" w14:textId="5A370839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Provide opportunities for student self-assessment.</w:t>
            </w:r>
          </w:p>
        </w:tc>
        <w:tc>
          <w:tcPr>
            <w:tcW w:w="1529" w:type="dxa"/>
          </w:tcPr>
          <w:p w14:paraId="4933CB2E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067C33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D79E3A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4DD4BA0D" w14:textId="77777777" w:rsidTr="0013457A">
        <w:trPr>
          <w:trHeight w:val="860"/>
        </w:trPr>
        <w:tc>
          <w:tcPr>
            <w:tcW w:w="2088" w:type="dxa"/>
            <w:vMerge/>
          </w:tcPr>
          <w:p w14:paraId="3D02C853" w14:textId="05C8F693" w:rsidR="00087BA5" w:rsidRDefault="00087BA5" w:rsidP="005E6409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b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ECBE2DB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Provide opportunities for students to discuss how they will work together before engaging in cooperative learning, and to reflect afterwards.</w:t>
            </w:r>
          </w:p>
        </w:tc>
        <w:tc>
          <w:tcPr>
            <w:tcW w:w="1529" w:type="dxa"/>
          </w:tcPr>
          <w:p w14:paraId="5ECAC911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908564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5A1C9A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4BB00C60" w14:textId="77777777" w:rsidTr="0013457A">
        <w:trPr>
          <w:trHeight w:val="860"/>
        </w:trPr>
        <w:tc>
          <w:tcPr>
            <w:tcW w:w="2088" w:type="dxa"/>
            <w:vMerge/>
          </w:tcPr>
          <w:p w14:paraId="74F26AD9" w14:textId="05DBE6A3" w:rsidR="00087BA5" w:rsidRDefault="00087BA5" w:rsidP="005E6409">
            <w:pPr>
              <w:spacing w:line="240" w:lineRule="auto"/>
              <w:ind w:left="113" w:right="113"/>
              <w:jc w:val="center"/>
              <w:rPr>
                <w:rFonts w:ascii="Helvetica Neue" w:eastAsia="Helvetica Neue" w:hAnsi="Helvetica Neue" w:cs="Helvetica Neue"/>
                <w:color w:val="F58413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2F9F6C7" w14:textId="512FF9F7" w:rsidR="00087BA5" w:rsidRDefault="00087BA5" w:rsidP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Provide opportunities for students to reflect on both their academic and social-emotional learning.</w:t>
            </w:r>
          </w:p>
        </w:tc>
        <w:tc>
          <w:tcPr>
            <w:tcW w:w="1529" w:type="dxa"/>
          </w:tcPr>
          <w:p w14:paraId="1A7CF228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62B568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D63E8E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11223E7D" w14:textId="77777777" w:rsidTr="0013457A">
        <w:trPr>
          <w:trHeight w:val="860"/>
        </w:trPr>
        <w:tc>
          <w:tcPr>
            <w:tcW w:w="2088" w:type="dxa"/>
            <w:vMerge/>
          </w:tcPr>
          <w:p w14:paraId="125AD432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18B4C58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Use wait time after asking a question before calling on anyone to respond.</w:t>
            </w:r>
          </w:p>
        </w:tc>
        <w:tc>
          <w:tcPr>
            <w:tcW w:w="1529" w:type="dxa"/>
          </w:tcPr>
          <w:p w14:paraId="17FC9F11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6F1382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4C553E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15B53314" w14:textId="77777777" w:rsidTr="0013457A">
        <w:trPr>
          <w:trHeight w:val="860"/>
        </w:trPr>
        <w:tc>
          <w:tcPr>
            <w:tcW w:w="2088" w:type="dxa"/>
            <w:vMerge/>
          </w:tcPr>
          <w:p w14:paraId="69C3F40F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3D1DD4E" w14:textId="0C015096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Have students use “tag” to call on one another to speak.</w:t>
            </w:r>
          </w:p>
        </w:tc>
        <w:tc>
          <w:tcPr>
            <w:tcW w:w="1529" w:type="dxa"/>
          </w:tcPr>
          <w:p w14:paraId="5523E9CD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CD5009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845F0F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272A2723" w14:textId="77777777" w:rsidTr="0013457A">
        <w:trPr>
          <w:trHeight w:val="860"/>
        </w:trPr>
        <w:tc>
          <w:tcPr>
            <w:tcW w:w="2088" w:type="dxa"/>
            <w:vMerge/>
          </w:tcPr>
          <w:p w14:paraId="637546ED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52EE8F0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Ask facilitative questions in discussions to help students respond directly to one another.</w:t>
            </w:r>
          </w:p>
        </w:tc>
        <w:tc>
          <w:tcPr>
            <w:tcW w:w="1529" w:type="dxa"/>
          </w:tcPr>
          <w:p w14:paraId="13AAF5D0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A4F000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97F5C1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5DF71DF9" w14:textId="77777777" w:rsidTr="0013457A">
        <w:trPr>
          <w:trHeight w:val="860"/>
        </w:trPr>
        <w:tc>
          <w:tcPr>
            <w:tcW w:w="2088" w:type="dxa"/>
            <w:vMerge/>
          </w:tcPr>
          <w:p w14:paraId="172C2E34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E038A88" w14:textId="6CD03EAC" w:rsidR="00087BA5" w:rsidRDefault="00087BA5" w:rsidP="00087BA5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Refrain from repeating or paraphrasing students.</w:t>
            </w:r>
          </w:p>
        </w:tc>
        <w:tc>
          <w:tcPr>
            <w:tcW w:w="1529" w:type="dxa"/>
          </w:tcPr>
          <w:p w14:paraId="08E63397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55D378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9E4B22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87BA5" w14:paraId="3E43AD52" w14:textId="77777777" w:rsidTr="0013457A">
        <w:trPr>
          <w:trHeight w:val="860"/>
        </w:trPr>
        <w:tc>
          <w:tcPr>
            <w:tcW w:w="2088" w:type="dxa"/>
            <w:vMerge/>
          </w:tcPr>
          <w:p w14:paraId="6C45B4A4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92FF9F4" w14:textId="4618153F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Refrain from overt criticism or praise; instead, respond with interest.</w:t>
            </w:r>
          </w:p>
        </w:tc>
        <w:tc>
          <w:tcPr>
            <w:tcW w:w="1529" w:type="dxa"/>
          </w:tcPr>
          <w:p w14:paraId="5094E194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BFBB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2E6863" w14:textId="77777777" w:rsidR="00087BA5" w:rsidRDefault="00087BA5">
            <w:pPr>
              <w:spacing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3F538B7" w14:textId="77777777" w:rsidR="00780BD7" w:rsidRDefault="00780BD7">
      <w:pPr>
        <w:spacing w:after="0" w:line="240" w:lineRule="auto"/>
        <w:rPr>
          <w:rFonts w:ascii="Helvetica Neue" w:eastAsia="Helvetica Neue" w:hAnsi="Helvetica Neue" w:cs="Helvetica Neue"/>
        </w:rPr>
      </w:pPr>
    </w:p>
    <w:p w14:paraId="78EDA4D3" w14:textId="77777777" w:rsidR="000E5E25" w:rsidRDefault="000E5E25">
      <w:pPr>
        <w:spacing w:after="0" w:line="240" w:lineRule="auto"/>
        <w:rPr>
          <w:rFonts w:ascii="Helvetica Neue" w:eastAsia="Helvetica Neue" w:hAnsi="Helvetica Neue" w:cs="Helvetica Neue"/>
          <w:b/>
        </w:rPr>
      </w:pPr>
    </w:p>
    <w:p w14:paraId="6C8A1E61" w14:textId="29B752BB" w:rsidR="00780BD7" w:rsidRDefault="005233ED">
      <w:pPr>
        <w:spacing w:after="0" w:line="240" w:lineRule="auto"/>
        <w:rPr>
          <w:rFonts w:ascii="Helvetica Neue" w:eastAsia="Helvetica Neue" w:hAnsi="Helvetica Neue" w:cs="Helvetica Neue"/>
        </w:rPr>
      </w:pPr>
      <w:r w:rsidRPr="00087BA5">
        <w:rPr>
          <w:rFonts w:ascii="Helvetica Neue" w:eastAsia="Helvetica Neue" w:hAnsi="Helvetica Neue" w:cs="Helvetica Neue"/>
          <w:b/>
        </w:rPr>
        <w:t xml:space="preserve">2–3 integration strategies I want to use more frequently: </w:t>
      </w:r>
      <w:r>
        <w:rPr>
          <w:rFonts w:ascii="Helvetica Neue" w:eastAsia="Helvetica Neue" w:hAnsi="Helvetica Neue" w:cs="Helvetica Neue"/>
        </w:rPr>
        <w:t>_____________________________________________________________________________________</w:t>
      </w:r>
    </w:p>
    <w:p w14:paraId="09BC5BF6" w14:textId="77777777" w:rsidR="00780BD7" w:rsidRDefault="00780BD7">
      <w:pPr>
        <w:spacing w:after="0" w:line="240" w:lineRule="auto"/>
        <w:rPr>
          <w:rFonts w:ascii="Helvetica Neue" w:eastAsia="Helvetica Neue" w:hAnsi="Helvetica Neue" w:cs="Helvetica Neue"/>
        </w:rPr>
      </w:pPr>
    </w:p>
    <w:p w14:paraId="1A20B56D" w14:textId="722B08FE" w:rsidR="00780BD7" w:rsidRDefault="005233ED">
      <w:pPr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</w:t>
      </w:r>
    </w:p>
    <w:p w14:paraId="73DCCDE4" w14:textId="77777777" w:rsidR="00780BD7" w:rsidRDefault="00780BD7">
      <w:pPr>
        <w:spacing w:after="0" w:line="240" w:lineRule="auto"/>
        <w:rPr>
          <w:rFonts w:ascii="Helvetica Neue" w:eastAsia="Helvetica Neue" w:hAnsi="Helvetica Neue" w:cs="Helvetica Neue"/>
        </w:rPr>
      </w:pPr>
    </w:p>
    <w:p w14:paraId="78D3A5FA" w14:textId="7804FD45" w:rsidR="00780BD7" w:rsidRDefault="005233ED">
      <w:pPr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</w:t>
      </w:r>
    </w:p>
    <w:p w14:paraId="6A93554A" w14:textId="77777777" w:rsidR="00780BD7" w:rsidRDefault="00780BD7">
      <w:pPr>
        <w:pBdr>
          <w:bottom w:val="single" w:sz="12" w:space="1" w:color="auto"/>
        </w:pBdr>
        <w:spacing w:after="0" w:line="240" w:lineRule="auto"/>
        <w:rPr>
          <w:rFonts w:ascii="Helvetica Neue" w:eastAsia="Helvetica Neue" w:hAnsi="Helvetica Neue" w:cs="Helvetica Neue"/>
        </w:rPr>
      </w:pPr>
    </w:p>
    <w:p w14:paraId="3E6A5044" w14:textId="0F96038B" w:rsidR="00947D6E" w:rsidRDefault="00947D6E" w:rsidP="00087BA5">
      <w:pPr>
        <w:spacing w:after="0" w:line="240" w:lineRule="auto"/>
        <w:rPr>
          <w:rFonts w:ascii="Helvetica Neue" w:eastAsia="Helvetica Neue" w:hAnsi="Helvetica Neue" w:cs="Helvetica Neue"/>
        </w:rPr>
      </w:pPr>
    </w:p>
    <w:p w14:paraId="09129FE0" w14:textId="2A8C0694" w:rsidR="00947D6E" w:rsidRDefault="00947D6E" w:rsidP="00087BA5">
      <w:pPr>
        <w:spacing w:after="0" w:line="240" w:lineRule="auto"/>
        <w:rPr>
          <w:rFonts w:ascii="Helvetica Neue" w:eastAsia="Helvetica Neue" w:hAnsi="Helvetica Neue" w:cs="Helvetica Neue"/>
        </w:rPr>
      </w:pPr>
    </w:p>
    <w:p w14:paraId="1B612067" w14:textId="77777777" w:rsidR="00947D6E" w:rsidRPr="00AA0766" w:rsidRDefault="00947D6E" w:rsidP="00947D6E">
      <w:pPr>
        <w:spacing w:line="240" w:lineRule="auto"/>
        <w:rPr>
          <w:rFonts w:ascii="Helvetica" w:hAnsi="Helvetica"/>
          <w:b/>
          <w:color w:val="808080" w:themeColor="background1" w:themeShade="80"/>
          <w:sz w:val="26"/>
          <w:szCs w:val="26"/>
        </w:rPr>
      </w:pPr>
      <w:bookmarkStart w:id="1" w:name="_GoBack"/>
      <w:bookmarkEnd w:id="1"/>
      <w:r w:rsidRPr="00AA07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hyperlink r:id="rId6" w:history="1">
        <w:r w:rsidRPr="00AA0766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20"/>
            <w:szCs w:val="20"/>
          </w:rPr>
          <w:t>OST-enhanced version of this tool</w:t>
        </w:r>
      </w:hyperlink>
      <w:r w:rsidRPr="00AA07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. (</w:t>
      </w:r>
      <w:hyperlink r:id="rId7" w:history="1">
        <w:r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http://bit.ly/2W1Bq3t</w:t>
        </w:r>
      </w:hyperlink>
      <w:r w:rsidRPr="00AA07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)</w:t>
      </w:r>
    </w:p>
    <w:p w14:paraId="09A85F6A" w14:textId="77777777" w:rsidR="00947D6E" w:rsidRPr="00087BA5" w:rsidRDefault="00947D6E" w:rsidP="00087BA5">
      <w:pPr>
        <w:spacing w:after="0" w:line="240" w:lineRule="auto"/>
        <w:rPr>
          <w:rFonts w:ascii="Helvetica Neue" w:eastAsia="Helvetica Neue" w:hAnsi="Helvetica Neue" w:cs="Helvetica Neue"/>
        </w:rPr>
      </w:pPr>
    </w:p>
    <w:sectPr w:rsidR="00947D6E" w:rsidRPr="00087BA5" w:rsidSect="0013457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5D49" w14:textId="77777777" w:rsidR="00D16DA8" w:rsidRDefault="00D16DA8">
      <w:pPr>
        <w:spacing w:after="0" w:line="240" w:lineRule="auto"/>
      </w:pPr>
      <w:r>
        <w:separator/>
      </w:r>
    </w:p>
  </w:endnote>
  <w:endnote w:type="continuationSeparator" w:id="0">
    <w:p w14:paraId="20504AD2" w14:textId="77777777" w:rsidR="00D16DA8" w:rsidRDefault="00D1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31F7" w14:textId="77777777" w:rsidR="00780BD7" w:rsidRDefault="00523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DCAA9BF" w14:textId="77777777" w:rsidR="00780BD7" w:rsidRDefault="00780B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B6B5" w14:textId="77777777" w:rsidR="00780BD7" w:rsidRDefault="00523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7590">
      <w:rPr>
        <w:noProof/>
        <w:color w:val="000000"/>
      </w:rPr>
      <w:t>1</w:t>
    </w:r>
    <w:r>
      <w:rPr>
        <w:color w:val="000000"/>
      </w:rPr>
      <w:fldChar w:fldCharType="end"/>
    </w:r>
  </w:p>
  <w:p w14:paraId="2A732E39" w14:textId="77777777" w:rsidR="00780BD7" w:rsidRDefault="005233ED">
    <w:pPr>
      <w:pBdr>
        <w:top w:val="nil"/>
        <w:left w:val="nil"/>
        <w:bottom w:val="nil"/>
        <w:right w:val="nil"/>
        <w:between w:val="nil"/>
      </w:pBdr>
      <w:tabs>
        <w:tab w:val="center" w:pos="5760"/>
        <w:tab w:val="right" w:pos="10800"/>
      </w:tabs>
      <w:spacing w:after="0" w:line="240" w:lineRule="auto"/>
      <w:ind w:right="360"/>
      <w:rPr>
        <w:rFonts w:ascii="Helvetica Neue" w:eastAsia="Helvetica Neue" w:hAnsi="Helvetica Neue" w:cs="Helvetica Neue"/>
        <w:color w:val="000000"/>
        <w:sz w:val="18"/>
        <w:szCs w:val="18"/>
      </w:rPr>
    </w:pPr>
    <w:r>
      <w:rPr>
        <w:rFonts w:ascii="Helvetica Neue" w:eastAsia="Helvetica Neue" w:hAnsi="Helvetica Neue" w:cs="Helvetica Neue"/>
        <w:color w:val="000000"/>
        <w:sz w:val="18"/>
        <w:szCs w:val="18"/>
      </w:rPr>
      <w:tab/>
    </w:r>
  </w:p>
  <w:p w14:paraId="13DC71F8" w14:textId="26AD5FF4" w:rsidR="00087BA5" w:rsidRPr="00ED3CE9" w:rsidRDefault="00087BA5" w:rsidP="00087BA5">
    <w:pPr>
      <w:rPr>
        <w:rFonts w:ascii="Helvetica" w:eastAsia="Times New Roman" w:hAnsi="Helvetica"/>
        <w:sz w:val="14"/>
        <w:szCs w:val="14"/>
      </w:rPr>
    </w:pPr>
    <w:r w:rsidRPr="00087BA5">
      <w:rPr>
        <w:rFonts w:ascii="Helvetica" w:eastAsia="Times New Roman" w:hAnsi="Helvetica" w:cs="Calibri"/>
        <w:color w:val="000000"/>
        <w:sz w:val="14"/>
        <w:szCs w:val="14"/>
      </w:rPr>
      <w:t xml:space="preserve"> </w:t>
    </w:r>
    <w:r w:rsidRPr="008851B9">
      <w:rPr>
        <w:rFonts w:ascii="Helvetica" w:eastAsia="Times New Roman" w:hAnsi="Helvetica" w:cs="Calibri"/>
        <w:color w:val="000000"/>
        <w:sz w:val="14"/>
        <w:szCs w:val="14"/>
      </w:rPr>
      <w:t xml:space="preserve">For more information, tools, and resources, visit </w:t>
    </w:r>
    <w:proofErr w:type="spellStart"/>
    <w:proofErr w:type="gramStart"/>
    <w:r w:rsidRPr="008851B9">
      <w:rPr>
        <w:rFonts w:ascii="Helvetica" w:eastAsia="Times New Roman" w:hAnsi="Helvetica" w:cs="Calibri"/>
        <w:color w:val="000000"/>
        <w:sz w:val="14"/>
        <w:szCs w:val="14"/>
      </w:rPr>
      <w:t>schoolguide.casel.org.</w:t>
    </w: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</w:t>
    </w:r>
    <w:proofErr w:type="spellEnd"/>
    <w:proofErr w:type="gramEnd"/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 xml:space="preserve"> © 2019 | Collaborative for Academic, Social, and Emotional Learning (CASEL) | casel.org | All Rights Reserved.</w:t>
    </w:r>
  </w:p>
  <w:p w14:paraId="1FC10CD6" w14:textId="77777777" w:rsidR="00780BD7" w:rsidRDefault="00780B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Helvetica Neue" w:eastAsia="Helvetica Neue" w:hAnsi="Helvetica Neue" w:cs="Helvetica Neue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B96B" w14:textId="77777777" w:rsidR="00D16DA8" w:rsidRDefault="00D16DA8">
      <w:pPr>
        <w:spacing w:after="0" w:line="240" w:lineRule="auto"/>
      </w:pPr>
      <w:r>
        <w:separator/>
      </w:r>
    </w:p>
  </w:footnote>
  <w:footnote w:type="continuationSeparator" w:id="0">
    <w:p w14:paraId="2CFC75E5" w14:textId="77777777" w:rsidR="00D16DA8" w:rsidRDefault="00D1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82BA6" w14:textId="1986B9F0" w:rsidR="00087BA5" w:rsidRDefault="00087BA5">
    <w:pPr>
      <w:spacing w:line="240" w:lineRule="auto"/>
      <w:jc w:val="center"/>
      <w:rPr>
        <w:rFonts w:ascii="Helvetica Neue" w:eastAsia="Helvetica Neue" w:hAnsi="Helvetica Neue" w:cs="Helvetica Neue"/>
        <w:b/>
        <w:color w:val="FF8A14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E17701F" wp14:editId="2F4B8570">
          <wp:simplePos x="0" y="0"/>
          <wp:positionH relativeFrom="column">
            <wp:posOffset>-410430</wp:posOffset>
          </wp:positionH>
          <wp:positionV relativeFrom="paragraph">
            <wp:posOffset>-147735</wp:posOffset>
          </wp:positionV>
          <wp:extent cx="1959574" cy="445358"/>
          <wp:effectExtent l="0" t="0" r="0" b="0"/>
          <wp:wrapTight wrapText="bothSides">
            <wp:wrapPolygon edited="0">
              <wp:start x="1680" y="0"/>
              <wp:lineTo x="840" y="3698"/>
              <wp:lineTo x="140" y="8011"/>
              <wp:lineTo x="140" y="13558"/>
              <wp:lineTo x="1400" y="20337"/>
              <wp:lineTo x="1820" y="20953"/>
              <wp:lineTo x="3361" y="20953"/>
              <wp:lineTo x="14003" y="17255"/>
              <wp:lineTo x="21145" y="13558"/>
              <wp:lineTo x="21005" y="8011"/>
              <wp:lineTo x="3361" y="0"/>
              <wp:lineTo x="1680" y="0"/>
            </wp:wrapPolygon>
          </wp:wrapTight>
          <wp:docPr id="1" name="image2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TEMP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DAB8C" w14:textId="70C88691" w:rsidR="00780BD7" w:rsidRPr="00087BA5" w:rsidRDefault="005233ED">
    <w:pPr>
      <w:spacing w:line="240" w:lineRule="auto"/>
      <w:jc w:val="center"/>
      <w:rPr>
        <w:rFonts w:ascii="Helvetica Neue" w:eastAsia="Helvetica Neue" w:hAnsi="Helvetica Neue" w:cs="Helvetica Neue"/>
        <w:color w:val="F58413"/>
        <w:sz w:val="24"/>
      </w:rPr>
    </w:pPr>
    <w:r>
      <w:rPr>
        <w:rFonts w:ascii="Helvetica Neue" w:eastAsia="Helvetica Neue" w:hAnsi="Helvetica Neue" w:cs="Helvetica Neue"/>
        <w:b/>
        <w:color w:val="FF8A14"/>
        <w:sz w:val="28"/>
        <w:szCs w:val="28"/>
      </w:rPr>
      <w:t xml:space="preserve">TOOL: Teacher Self-Assessment: </w:t>
    </w:r>
    <w:r w:rsidRPr="00087BA5">
      <w:rPr>
        <w:rFonts w:ascii="Helvetica Neue" w:eastAsia="Helvetica Neue" w:hAnsi="Helvetica Neue" w:cs="Helvetica Neue"/>
        <w:b/>
        <w:color w:val="F58413"/>
        <w:sz w:val="28"/>
        <w:szCs w:val="24"/>
      </w:rPr>
      <w:t>Integrating SEL into Instruction</w:t>
    </w:r>
  </w:p>
  <w:p w14:paraId="7C0ADD71" w14:textId="77777777" w:rsidR="00780BD7" w:rsidRDefault="00780B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Helvetica Neue" w:eastAsia="Helvetica Neue" w:hAnsi="Helvetica Neue" w:cs="Helvetica Neue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7"/>
    <w:rsid w:val="00087BA5"/>
    <w:rsid w:val="000E5E25"/>
    <w:rsid w:val="0013457A"/>
    <w:rsid w:val="00153FC4"/>
    <w:rsid w:val="001A7590"/>
    <w:rsid w:val="005233ED"/>
    <w:rsid w:val="00780BD7"/>
    <w:rsid w:val="00947D6E"/>
    <w:rsid w:val="00AE0700"/>
    <w:rsid w:val="00B15841"/>
    <w:rsid w:val="00D16DA8"/>
    <w:rsid w:val="00F4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703A8"/>
  <w15:docId w15:val="{97582B32-F40A-EF49-825A-EEA15FC4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5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9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A5"/>
  </w:style>
  <w:style w:type="paragraph" w:styleId="Footer">
    <w:name w:val="footer"/>
    <w:basedOn w:val="Normal"/>
    <w:link w:val="FooterChar"/>
    <w:uiPriority w:val="99"/>
    <w:unhideWhenUsed/>
    <w:rsid w:val="00087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A5"/>
  </w:style>
  <w:style w:type="character" w:styleId="Hyperlink">
    <w:name w:val="Hyperlink"/>
    <w:basedOn w:val="DefaultParagraphFont"/>
    <w:uiPriority w:val="99"/>
    <w:unhideWhenUsed/>
    <w:rsid w:val="00947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choolguide.casel.org/uploads/2019/04/tool-teacher-self-assessment-integrating-OST.docx?utm_source=Resources-OST&amp;utm_medium=Download&amp;utm_campaign=OST_Link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casel.org/uploads/2019/04/tool-teacher-self-assessment-integrating-OST.docx?utm_source=Resources-OST&amp;utm_medium=Download&amp;utm_campaign=OST_Link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cp:lastPrinted>2019-04-26T14:20:00Z</cp:lastPrinted>
  <dcterms:created xsi:type="dcterms:W3CDTF">2019-04-26T18:19:00Z</dcterms:created>
  <dcterms:modified xsi:type="dcterms:W3CDTF">2019-04-26T18:19:00Z</dcterms:modified>
</cp:coreProperties>
</file>